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bookmarkStart w:id="0" w:name="Title"/>
      <w:bookmarkEnd w:id="0"/>
      <w:bookmarkStart w:id="1" w:name="DocumentFor"/>
      <w:bookmarkEnd w:id="1"/>
      <w:bookmarkStart w:id="2" w:name="_Toc193024528"/>
      <w:r>
        <w:rPr>
          <w:rFonts w:hint="default" w:ascii="Arial" w:hAnsi="Arial" w:cs="Arial"/>
          <w:b/>
          <w:color w:val="auto"/>
          <w:sz w:val="20"/>
          <w:szCs w:val="20"/>
          <w:highlight w:val="none"/>
          <w:lang w:eastAsia="zh-CN"/>
        </w:rPr>
        <w:t>3GPP TSG-RAN WG4 Meeting # 98</w:t>
      </w:r>
      <w:r>
        <w:rPr>
          <w:rFonts w:hint="eastAsia" w:cs="Arial"/>
          <w:b/>
          <w:color w:val="auto"/>
          <w:sz w:val="20"/>
          <w:szCs w:val="20"/>
          <w:highlight w:val="none"/>
          <w:lang w:val="en-US" w:eastAsia="zh-CN"/>
        </w:rPr>
        <w:t>bis</w:t>
      </w:r>
      <w:r>
        <w:rPr>
          <w:rFonts w:hint="default" w:ascii="Arial" w:hAnsi="Arial" w:cs="Arial"/>
          <w:b/>
          <w:color w:val="auto"/>
          <w:sz w:val="20"/>
          <w:szCs w:val="20"/>
          <w:highlight w:val="none"/>
          <w:lang w:eastAsia="zh-CN"/>
        </w:rPr>
        <w:t xml:space="preserve">-e </w:t>
      </w:r>
      <w:r>
        <w:rPr>
          <w:rFonts w:hint="default" w:ascii="Arial" w:hAnsi="Arial" w:cs="Arial"/>
          <w:b/>
          <w:color w:val="auto"/>
          <w:sz w:val="20"/>
          <w:szCs w:val="20"/>
          <w:highlight w:val="none"/>
          <w:lang w:val="en-US" w:eastAsia="zh-CN"/>
        </w:rPr>
        <w:t xml:space="preserve">                              </w:t>
      </w:r>
      <w:r>
        <w:rPr>
          <w:rFonts w:hint="eastAsia" w:cs="Arial"/>
          <w:b/>
          <w:color w:val="auto"/>
          <w:sz w:val="20"/>
          <w:szCs w:val="20"/>
          <w:highlight w:val="none"/>
          <w:lang w:val="en-US" w:eastAsia="zh-CN"/>
        </w:rPr>
        <w:t xml:space="preserve">                                                    </w:t>
      </w:r>
      <w:bookmarkStart w:id="3" w:name="_GoBack"/>
      <w:bookmarkEnd w:id="3"/>
      <w:r>
        <w:rPr>
          <w:rFonts w:hint="eastAsia" w:cs="Arial"/>
          <w:b/>
          <w:color w:val="auto"/>
          <w:sz w:val="20"/>
          <w:szCs w:val="20"/>
          <w:highlight w:val="none"/>
          <w:lang w:val="en-US" w:eastAsia="zh-CN"/>
        </w:rPr>
        <w:t xml:space="preserve">   R4-2106362</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eastAsia="zh-CN"/>
        </w:rPr>
      </w:pPr>
      <w:r>
        <w:rPr>
          <w:rFonts w:hint="default" w:ascii="Arial" w:hAnsi="Arial" w:cs="Arial"/>
          <w:b/>
          <w:color w:val="auto"/>
          <w:sz w:val="20"/>
          <w:szCs w:val="20"/>
          <w:highlight w:val="none"/>
          <w:lang w:eastAsia="zh-CN"/>
        </w:rPr>
        <w:t xml:space="preserve">Electronic Meeting, </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1</w:t>
      </w:r>
      <w:r>
        <w:rPr>
          <w:rFonts w:hint="default" w:ascii="Arial" w:hAnsi="Arial" w:cs="Arial"/>
          <w:b/>
          <w:color w:val="auto"/>
          <w:sz w:val="20"/>
          <w:szCs w:val="20"/>
          <w:highlight w:val="none"/>
          <w:lang w:eastAsia="zh-CN"/>
        </w:rPr>
        <w:t>2-</w:t>
      </w:r>
      <w:r>
        <w:rPr>
          <w:rFonts w:hint="eastAsia" w:cs="Arial"/>
          <w:b/>
          <w:color w:val="auto"/>
          <w:sz w:val="20"/>
          <w:szCs w:val="20"/>
          <w:highlight w:val="none"/>
          <w:lang w:val="en-US" w:eastAsia="zh-CN"/>
        </w:rPr>
        <w:t>Apr</w:t>
      </w:r>
      <w:r>
        <w:rPr>
          <w:rFonts w:hint="default" w:ascii="Arial" w:hAnsi="Arial" w:cs="Arial"/>
          <w:b/>
          <w:color w:val="auto"/>
          <w:sz w:val="20"/>
          <w:szCs w:val="20"/>
          <w:highlight w:val="none"/>
          <w:lang w:eastAsia="zh-CN"/>
        </w:rPr>
        <w:t xml:space="preserve">. </w:t>
      </w:r>
      <w:r>
        <w:rPr>
          <w:rFonts w:hint="eastAsia" w:cs="Arial"/>
          <w:b/>
          <w:color w:val="auto"/>
          <w:sz w:val="20"/>
          <w:szCs w:val="20"/>
          <w:highlight w:val="none"/>
          <w:lang w:val="en-US" w:eastAsia="zh-CN"/>
        </w:rPr>
        <w:t>20</w:t>
      </w:r>
      <w:r>
        <w:rPr>
          <w:rFonts w:hint="default" w:ascii="Arial" w:hAnsi="Arial" w:cs="Arial"/>
          <w:b/>
          <w:color w:val="auto"/>
          <w:sz w:val="20"/>
          <w:szCs w:val="20"/>
          <w:highlight w:val="none"/>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default" w:ascii="Arial" w:hAnsi="Arial" w:cs="Arial"/>
          <w:b w:val="0"/>
          <w:bCs/>
          <w:color w:val="auto"/>
          <w:sz w:val="20"/>
          <w:szCs w:val="20"/>
        </w:rPr>
        <w:t xml:space="preserve">Discussion </w:t>
      </w:r>
      <w:r>
        <w:rPr>
          <w:rFonts w:hint="eastAsia" w:eastAsia="宋体" w:cs="Arial"/>
          <w:b w:val="0"/>
          <w:bCs/>
          <w:color w:val="auto"/>
          <w:sz w:val="20"/>
          <w:szCs w:val="20"/>
          <w:lang w:val="en-US" w:eastAsia="zh-CN"/>
        </w:rPr>
        <w:t xml:space="preserve">on </w:t>
      </w:r>
      <w:r>
        <w:rPr>
          <w:rFonts w:hint="default" w:ascii="Arial" w:hAnsi="Arial" w:cs="Arial"/>
          <w:b w:val="0"/>
          <w:bCs/>
          <w:color w:val="auto"/>
          <w:sz w:val="20"/>
          <w:szCs w:val="20"/>
        </w:rPr>
        <w:t>HPU</w:t>
      </w:r>
      <w:r>
        <w:rPr>
          <w:rFonts w:hint="eastAsia" w:eastAsia="宋体" w:cs="Arial"/>
          <w:b w:val="0"/>
          <w:bCs/>
          <w:color w:val="auto"/>
          <w:sz w:val="20"/>
          <w:szCs w:val="20"/>
          <w:lang w:val="en-US" w:eastAsia="zh-CN"/>
        </w:rPr>
        <w:t>E</w:t>
      </w:r>
      <w:r>
        <w:rPr>
          <w:rFonts w:hint="default" w:ascii="Arial" w:hAnsi="Arial" w:cs="Arial"/>
          <w:b w:val="0"/>
          <w:bCs/>
          <w:color w:val="auto"/>
          <w:sz w:val="20"/>
          <w:szCs w:val="20"/>
        </w:rPr>
        <w:t xml:space="preserve"> FDD</w:t>
      </w:r>
      <w:r>
        <w:rPr>
          <w:rFonts w:hint="eastAsia" w:eastAsia="宋体" w:cs="Arial"/>
          <w:b w:val="0"/>
          <w:bCs/>
          <w:color w:val="auto"/>
          <w:sz w:val="20"/>
          <w:szCs w:val="20"/>
          <w:lang w:val="en-US" w:eastAsia="zh-CN"/>
        </w:rPr>
        <w:t xml:space="preserve"> band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9.4.2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In last RAN</w:t>
      </w:r>
      <w:r>
        <w:rPr>
          <w:rFonts w:hint="eastAsia" w:ascii="Arial" w:hAnsi="Arial" w:eastAsia="宋体" w:cs="Arial"/>
          <w:i w:val="0"/>
          <w:iCs w:val="0"/>
          <w:color w:val="auto"/>
          <w:sz w:val="20"/>
          <w:szCs w:val="20"/>
          <w:highlight w:val="none"/>
          <w:lang w:val="en-US" w:eastAsia="zh-CN"/>
        </w:rPr>
        <w:t>4</w:t>
      </w:r>
      <w:r>
        <w:rPr>
          <w:rFonts w:hint="default" w:ascii="Arial" w:hAnsi="Arial" w:eastAsia="宋体" w:cs="Arial"/>
          <w:i w:val="0"/>
          <w:iCs w:val="0"/>
          <w:color w:val="auto"/>
          <w:sz w:val="20"/>
          <w:szCs w:val="20"/>
          <w:highlight w:val="none"/>
          <w:lang w:val="en-US" w:eastAsia="zh-CN"/>
        </w:rPr>
        <w:t xml:space="preserve"> #9</w:t>
      </w:r>
      <w:r>
        <w:rPr>
          <w:rFonts w:hint="eastAsia" w:ascii="Arial" w:hAnsi="Arial" w:eastAsia="宋体" w:cs="Arial"/>
          <w:i w:val="0"/>
          <w:iCs w:val="0"/>
          <w:color w:val="auto"/>
          <w:sz w:val="20"/>
          <w:szCs w:val="20"/>
          <w:highlight w:val="none"/>
          <w:lang w:val="en-US" w:eastAsia="zh-CN"/>
        </w:rPr>
        <w:t>8</w:t>
      </w:r>
      <w:r>
        <w:rPr>
          <w:rFonts w:hint="default" w:ascii="Arial" w:hAnsi="Arial" w:eastAsia="宋体" w:cs="Arial"/>
          <w:i w:val="0"/>
          <w:iCs w:val="0"/>
          <w:color w:val="auto"/>
          <w:sz w:val="20"/>
          <w:szCs w:val="20"/>
          <w:highlight w:val="none"/>
          <w:lang w:val="en-US" w:eastAsia="zh-CN"/>
        </w:rPr>
        <w:t xml:space="preserve">e meeting, </w:t>
      </w:r>
      <w:r>
        <w:rPr>
          <w:rFonts w:hint="eastAsia" w:ascii="Arial" w:hAnsi="Arial" w:eastAsia="宋体" w:cs="Arial"/>
          <w:i w:val="0"/>
          <w:iCs w:val="0"/>
          <w:color w:val="auto"/>
          <w:sz w:val="20"/>
          <w:szCs w:val="20"/>
          <w:highlight w:val="none"/>
          <w:lang w:val="en-US" w:eastAsia="zh-CN"/>
        </w:rPr>
        <w:t>HPUE NR FDD band were largely discussed, including system performance, RF proponents aspect, SAR schemes, etc. a WF was agreed in [1]. Some of the agreements are cited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SAR Scheme</w:t>
      </w:r>
      <w:r>
        <w:rPr>
          <w:rFonts w:hint="eastAsia" w:ascii="Arial" w:hAnsi="Arial" w:eastAsia="宋体" w:cs="Arial"/>
          <w:i/>
          <w:iCs/>
          <w:color w:val="auto"/>
          <w:sz w:val="20"/>
          <w:szCs w:val="20"/>
          <w:highlight w:val="none"/>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 xml:space="preserve">Agreement: P-MPR is the baseline SAR solution.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Companies are encouraged to study and conclude on how to apply duty cycle concept in FDD bands in next meetings.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Interference Issues: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Agreement: RAN4 can study receiver sensitivity degradation due to high max. out power and Tx/Rx isolation levels according to RF component performance in both n1 and n3 FDD bands.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iCs/>
          <w:color w:val="auto"/>
          <w:sz w:val="20"/>
          <w:szCs w:val="20"/>
          <w:highlight w:val="none"/>
          <w:lang w:val="en-US" w:eastAsia="zh-CN"/>
        </w:rPr>
      </w:pPr>
      <w:r>
        <w:rPr>
          <w:rFonts w:hint="default" w:ascii="Arial" w:hAnsi="Arial" w:eastAsia="宋体" w:cs="Arial"/>
          <w:i/>
          <w:iCs/>
          <w:color w:val="auto"/>
          <w:sz w:val="20"/>
          <w:szCs w:val="20"/>
          <w:highlight w:val="none"/>
          <w:lang w:val="en-US" w:eastAsia="zh-CN"/>
        </w:rPr>
        <w:t>Companies are encouraged to bring analyses on receiver sensitivity degradation in next meeting.</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szCs w:val="20"/>
          <w:highlight w:val="none"/>
          <w:lang w:val="en-US" w:eastAsia="zh-CN"/>
        </w:rPr>
      </w:pPr>
      <w:r>
        <w:rPr>
          <w:rFonts w:hint="default" w:ascii="Arial" w:hAnsi="Arial" w:eastAsia="宋体" w:cs="Arial"/>
          <w:i w:val="0"/>
          <w:iCs w:val="0"/>
          <w:color w:val="auto"/>
          <w:sz w:val="20"/>
          <w:szCs w:val="20"/>
          <w:highlight w:val="none"/>
          <w:lang w:val="en-US" w:eastAsia="zh-CN"/>
        </w:rPr>
        <w:t xml:space="preserve">In this contribution, we </w:t>
      </w:r>
      <w:r>
        <w:rPr>
          <w:rFonts w:hint="eastAsia" w:ascii="Arial" w:hAnsi="Arial" w:eastAsia="宋体" w:cs="Arial"/>
          <w:i w:val="0"/>
          <w:iCs w:val="0"/>
          <w:color w:val="auto"/>
          <w:sz w:val="20"/>
          <w:szCs w:val="20"/>
          <w:highlight w:val="none"/>
          <w:lang w:val="en-US" w:eastAsia="zh-CN"/>
        </w:rPr>
        <w:t>give some discussions on the SAR</w:t>
      </w:r>
      <w:r>
        <w:rPr>
          <w:rFonts w:hint="default" w:ascii="Arial" w:hAnsi="Arial" w:eastAsia="等线" w:cs="Arial"/>
          <w:sz w:val="20"/>
          <w:lang w:eastAsia="zh-CN"/>
        </w:rPr>
        <w:t xml:space="preserve"> scheme</w:t>
      </w:r>
      <w:r>
        <w:rPr>
          <w:rFonts w:hint="eastAsia" w:ascii="Arial" w:hAnsi="Arial" w:eastAsia="等线" w:cs="Arial"/>
          <w:sz w:val="20"/>
          <w:lang w:val="en-US" w:eastAsia="zh-CN"/>
        </w:rPr>
        <w:t xml:space="preserve"> and self-interfering issue.</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kinsoku/>
        <w:wordWrap/>
        <w:topLinePunct w:val="0"/>
        <w:bidi w:val="0"/>
        <w:snapToGrid/>
        <w:rPr>
          <w:rFonts w:hint="default" w:ascii="Arial" w:hAnsi="Arial" w:eastAsia="宋体" w:cs="Arial"/>
          <w:b/>
          <w:bCs/>
          <w:color w:val="auto"/>
          <w:sz w:val="20"/>
          <w:szCs w:val="20"/>
          <w:highlight w:val="none"/>
          <w:u w:val="single"/>
          <w:lang w:val="en-US" w:eastAsia="zh-CN"/>
        </w:rPr>
      </w:pPr>
      <w:r>
        <w:rPr>
          <w:rFonts w:hint="eastAsia" w:ascii="Arial" w:hAnsi="Arial" w:eastAsia="宋体" w:cs="Arial"/>
          <w:b/>
          <w:bCs/>
          <w:color w:val="auto"/>
          <w:sz w:val="20"/>
          <w:szCs w:val="20"/>
          <w:highlight w:val="none"/>
          <w:u w:val="single"/>
          <w:lang w:val="en-US" w:eastAsia="zh-CN"/>
        </w:rPr>
        <w:t>Duty cycle scheme</w:t>
      </w:r>
    </w:p>
    <w:p>
      <w:pPr>
        <w:keepNext/>
        <w:keepLines/>
        <w:pageBreakBefore w:val="0"/>
        <w:kinsoku/>
        <w:wordWrap/>
        <w:topLinePunct w:val="0"/>
        <w:bidi w:val="0"/>
        <w:snapToGrid/>
        <w:rPr>
          <w:lang w:eastAsia="en-US"/>
        </w:rPr>
      </w:pPr>
      <w:r>
        <w:rPr>
          <w:rFonts w:hint="eastAsia" w:ascii="Arial" w:hAnsi="Arial" w:eastAsia="宋体" w:cs="Arial"/>
          <w:b w:val="0"/>
          <w:bCs w:val="0"/>
          <w:color w:val="auto"/>
          <w:sz w:val="20"/>
          <w:szCs w:val="20"/>
          <w:highlight w:val="none"/>
          <w:lang w:val="en-US" w:eastAsia="zh-CN"/>
        </w:rPr>
        <w:t xml:space="preserve">In last meeting, SAR scheme have been largely discussed, where P-MPR is the baseline SAR solution. In addition, there also exists another SAR solution schemes, i.e. duty cycle, also could be used as optional SAR solution schemes. However, </w:t>
      </w:r>
      <w:r>
        <w:rPr>
          <w:rFonts w:hint="eastAsia" w:ascii="Arial" w:hAnsi="Arial" w:eastAsia="宋体" w:cs="Arial"/>
          <w:i w:val="0"/>
          <w:iCs w:val="0"/>
          <w:color w:val="auto"/>
          <w:sz w:val="20"/>
          <w:highlight w:val="none"/>
          <w:lang w:val="en-US" w:eastAsia="zh-CN"/>
        </w:rPr>
        <w:t xml:space="preserve">there is no concept of duty cycle and contiguous transmission has always been assumed during SAR characterization </w:t>
      </w:r>
      <w:r>
        <w:rPr>
          <w:rFonts w:hint="eastAsia" w:ascii="Arial" w:hAnsi="Arial" w:eastAsia="宋体" w:cs="Arial"/>
          <w:b w:val="0"/>
          <w:bCs w:val="0"/>
          <w:color w:val="auto"/>
          <w:sz w:val="20"/>
          <w:szCs w:val="20"/>
          <w:highlight w:val="none"/>
          <w:lang w:val="en-US" w:eastAsia="zh-CN"/>
        </w:rPr>
        <w:t xml:space="preserve">in past RAN4 discussion. A straightforward way is to use the similar way as TDD, which is 50% </w:t>
      </w:r>
      <w:r>
        <w:rPr>
          <w:rFonts w:hint="eastAsia" w:ascii="Arial" w:hAnsi="Arial" w:eastAsia="宋体" w:cs="Arial"/>
          <w:i w:val="0"/>
          <w:iCs w:val="0"/>
          <w:color w:val="auto"/>
          <w:sz w:val="20"/>
          <w:highlight w:val="none"/>
          <w:lang w:val="en-US" w:eastAsia="zh-CN"/>
        </w:rPr>
        <w:t xml:space="preserve">duty cycle as a default value, where for NR TDD band, </w:t>
      </w:r>
      <w:r>
        <w:rPr>
          <w:rFonts w:hint="eastAsia" w:ascii="Arial" w:hAnsi="Arial" w:eastAsia="宋体" w:cs="Arial"/>
          <w:color w:val="auto"/>
          <w:sz w:val="20"/>
          <w:highlight w:val="none"/>
          <w:lang w:val="en-US" w:eastAsia="zh-CN"/>
        </w:rPr>
        <w:t xml:space="preserve">the UE capability </w:t>
      </w:r>
      <w:r>
        <w:rPr>
          <w:rFonts w:hint="eastAsia" w:ascii="Arial" w:hAnsi="Arial" w:eastAsia="宋体" w:cs="Arial"/>
          <w:i/>
          <w:iCs/>
          <w:color w:val="auto"/>
          <w:sz w:val="20"/>
          <w:highlight w:val="none"/>
          <w:lang w:val="en-US" w:eastAsia="zh-CN"/>
        </w:rPr>
        <w:t xml:space="preserve">maxUplinkDutyCycle-PC2-FR1 </w:t>
      </w:r>
      <w:r>
        <w:rPr>
          <w:rFonts w:hint="eastAsia" w:ascii="Arial" w:hAnsi="Arial" w:eastAsia="宋体" w:cs="Arial"/>
          <w:color w:val="auto"/>
          <w:sz w:val="20"/>
          <w:highlight w:val="none"/>
          <w:lang w:val="en-US" w:eastAsia="zh-CN"/>
        </w:rPr>
        <w:t>was introduced.</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rPr>
          <w:rFonts w:ascii="Courier New" w:hAnsi="Courier New" w:eastAsia="Times New Roman"/>
          <w:sz w:val="16"/>
          <w:lang w:eastAsia="en-GB"/>
        </w:rPr>
      </w:pPr>
      <w:r>
        <w:rPr>
          <w:rFonts w:ascii="Courier New" w:hAnsi="Courier New" w:eastAsia="Times New Roman"/>
          <w:sz w:val="16"/>
          <w:lang w:eastAsia="en-GB"/>
        </w:rPr>
        <w:t xml:space="preserve">BandNR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bandNR                              FreqBandIndicatorNR,</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 xml:space="preserve">modifiedMPR-Behaviour               </w:t>
      </w:r>
      <w:r>
        <w:rPr>
          <w:rFonts w:ascii="Courier New" w:hAnsi="Courier New" w:eastAsia="Times New Roman"/>
          <w:color w:val="993366"/>
          <w:sz w:val="16"/>
          <w:lang w:eastAsia="en-GB"/>
        </w:rPr>
        <w:t>BIT</w:t>
      </w:r>
      <w:r>
        <w:rPr>
          <w:rFonts w:ascii="Courier New" w:hAnsi="Courier New" w:eastAsia="Times New Roman"/>
          <w:sz w:val="16"/>
          <w:lang w:eastAsia="en-GB"/>
        </w:rPr>
        <w:t xml:space="preserve"> </w:t>
      </w:r>
      <w:r>
        <w:rPr>
          <w:rFonts w:ascii="Courier New" w:hAnsi="Courier New" w:eastAsia="Times New Roman"/>
          <w:color w:val="993366"/>
          <w:sz w:val="16"/>
          <w:lang w:eastAsia="en-GB"/>
        </w:rPr>
        <w:t>STRING</w:t>
      </w:r>
      <w:r>
        <w:rPr>
          <w:rFonts w:ascii="Courier New" w:hAnsi="Courier New" w:eastAsia="Times New Roman"/>
          <w:sz w:val="16"/>
          <w:lang w:eastAsia="en-GB"/>
        </w:rPr>
        <w:t xml:space="preserve"> (</w:t>
      </w:r>
      <w:r>
        <w:rPr>
          <w:rFonts w:ascii="Courier New" w:hAnsi="Courier New" w:eastAsia="Times New Roman"/>
          <w:color w:val="993366"/>
          <w:sz w:val="16"/>
          <w:lang w:eastAsia="en-GB"/>
        </w:rPr>
        <w:t>SIZE</w:t>
      </w:r>
      <w:r>
        <w:rPr>
          <w:rFonts w:ascii="Courier New" w:hAnsi="Courier New" w:eastAsia="Times New Roman"/>
          <w:sz w:val="16"/>
          <w:lang w:eastAsia="en-GB"/>
        </w:rPr>
        <w:t xml:space="preserve"> (8))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 xml:space="preserve">mimo-ParametersPerBand              MIMO-ParametersPerBand                          </w:t>
      </w:r>
      <w:r>
        <w:rPr>
          <w:rFonts w:ascii="Courier New" w:hAnsi="Courier New" w:eastAsia="Times New Roman"/>
          <w:color w:val="993366"/>
          <w:sz w:val="16"/>
          <w:lang w:eastAsia="en-GB"/>
        </w:rPr>
        <w:t>OPTIONAL</w:t>
      </w:r>
      <w:r>
        <w:rPr>
          <w:rFonts w:ascii="Courier New" w:hAnsi="Courier New" w:eastAsia="Times New Roman"/>
          <w:sz w:val="16"/>
          <w:lang w:eastAsia="en-GB"/>
        </w:rPr>
        <w:t>,</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rPr>
          <w:rFonts w:ascii="Courier New" w:hAnsi="Courier New" w:eastAsia="Times New Roman"/>
          <w:sz w:val="16"/>
          <w:lang w:eastAsia="en-GB"/>
        </w:rPr>
      </w:pPr>
      <w:r>
        <w:rPr>
          <w:rFonts w:ascii="Courier New" w:hAnsi="Courier New" w:eastAsia="Times New Roman"/>
          <w:sz w:val="16"/>
          <w:lang w:eastAsia="en-GB"/>
        </w:rPr>
        <w:t xml:space="preserve">    </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highlight w:val="lightGray"/>
          <w:lang w:eastAsia="en-GB"/>
        </w:rPr>
      </w:pPr>
      <w:r>
        <w:rPr>
          <w:rFonts w:ascii="Courier New" w:hAnsi="Courier New" w:eastAsia="Times New Roman"/>
          <w:sz w:val="16"/>
          <w:highlight w:val="lightGray"/>
          <w:lang w:eastAsia="en-GB"/>
        </w:rPr>
        <w:t xml:space="preserve">maxUplinkDutyCycle-PC2-FR1                  </w:t>
      </w:r>
      <w:r>
        <w:rPr>
          <w:rFonts w:ascii="Courier New" w:hAnsi="Courier New" w:eastAsia="Times New Roman"/>
          <w:color w:val="993366"/>
          <w:sz w:val="16"/>
          <w:highlight w:val="lightGray"/>
          <w:lang w:eastAsia="en-GB"/>
        </w:rPr>
        <w:t>ENUMERATED</w:t>
      </w:r>
      <w:r>
        <w:rPr>
          <w:rFonts w:ascii="Courier New" w:hAnsi="Courier New" w:eastAsia="Times New Roman"/>
          <w:sz w:val="16"/>
          <w:highlight w:val="lightGray"/>
          <w:lang w:eastAsia="en-GB"/>
        </w:rPr>
        <w:t xml:space="preserve"> {n60, n70, n80, n90, n100}   </w:t>
      </w:r>
      <w:r>
        <w:rPr>
          <w:rFonts w:ascii="Courier New" w:hAnsi="Courier New" w:eastAsia="Times New Roman"/>
          <w:color w:val="993366"/>
          <w:sz w:val="16"/>
          <w:highlight w:val="lightGray"/>
          <w:lang w:eastAsia="en-GB"/>
        </w:rPr>
        <w:t>OPTIONAL</w:t>
      </w:r>
    </w:p>
    <w:p>
      <w:pPr>
        <w:keepNext/>
        <w:keepLines/>
        <w:pageBreakBefore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kinsoku/>
        <w:wordWrap/>
        <w:topLinePunct w:val="0"/>
        <w:bidi w:val="0"/>
        <w:snapToGrid/>
        <w:spacing w:after="0"/>
        <w:ind w:firstLine="390"/>
        <w:rPr>
          <w:rFonts w:ascii="Courier New" w:hAnsi="Courier New" w:eastAsia="Times New Roman"/>
          <w:sz w:val="16"/>
          <w:lang w:eastAsia="en-GB"/>
        </w:rPr>
      </w:pPr>
      <w:r>
        <w:rPr>
          <w:rFonts w:ascii="Courier New" w:hAnsi="Courier New" w:eastAsia="Times New Roman"/>
          <w:sz w:val="16"/>
          <w:lang w:eastAsia="en-GB"/>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i w:val="0"/>
          <w:iCs w:val="0"/>
          <w:color w:val="auto"/>
          <w:sz w:val="20"/>
          <w:highlight w:val="none"/>
          <w:lang w:val="en-US" w:eastAsia="zh-CN"/>
        </w:rPr>
      </w:pPr>
      <w:r>
        <w:rPr>
          <w:rFonts w:hint="eastAsia" w:ascii="Arial" w:hAnsi="Arial" w:eastAsia="宋体" w:cs="Arial"/>
          <w:b w:val="0"/>
          <w:bCs w:val="0"/>
          <w:color w:val="auto"/>
          <w:sz w:val="20"/>
          <w:szCs w:val="20"/>
          <w:highlight w:val="none"/>
          <w:lang w:val="en-US" w:eastAsia="zh-CN"/>
        </w:rPr>
        <w:t xml:space="preserve">Also considering PC2 FDD-TDD ENDC SAR schemes, where </w:t>
      </w:r>
      <w:r>
        <w:rPr>
          <w:rFonts w:hint="default" w:ascii="Arial" w:hAnsi="Arial" w:eastAsia="宋体" w:cs="Arial"/>
          <w:color w:val="auto"/>
          <w:sz w:val="20"/>
          <w:szCs w:val="20"/>
          <w:highlight w:val="none"/>
          <w:lang w:val="en-US" w:eastAsia="zh-CN"/>
        </w:rPr>
        <w:t xml:space="preserve">two fixed LTE </w:t>
      </w:r>
      <w:r>
        <w:rPr>
          <w:rFonts w:hint="eastAsia" w:ascii="Arial" w:hAnsi="Arial" w:eastAsia="宋体" w:cs="Arial"/>
          <w:color w:val="auto"/>
          <w:sz w:val="20"/>
          <w:szCs w:val="20"/>
          <w:highlight w:val="none"/>
          <w:lang w:val="en-US" w:eastAsia="zh-CN"/>
        </w:rPr>
        <w:t xml:space="preserve">FDD </w:t>
      </w:r>
      <w:r>
        <w:rPr>
          <w:rFonts w:hint="default" w:ascii="Arial" w:hAnsi="Arial" w:eastAsia="宋体" w:cs="Arial"/>
          <w:color w:val="auto"/>
          <w:sz w:val="20"/>
          <w:szCs w:val="20"/>
          <w:highlight w:val="none"/>
          <w:lang w:val="en-US" w:eastAsia="zh-CN"/>
        </w:rPr>
        <w:t>reference configurations were specified, i,e, {DutyLTE1, DutyLTE2} = {70%, 40%}</w:t>
      </w:r>
      <w:r>
        <w:rPr>
          <w:rFonts w:hint="eastAsia" w:ascii="Arial" w:hAnsi="Arial" w:eastAsia="宋体" w:cs="Arial"/>
          <w:color w:val="auto"/>
          <w:sz w:val="20"/>
          <w:szCs w:val="20"/>
          <w:highlight w:val="none"/>
          <w:lang w:val="en-US" w:eastAsia="zh-CN"/>
        </w:rPr>
        <w:t xml:space="preserve">, which means the duty cycle methods for FDD band can also feasible. </w:t>
      </w:r>
      <w:r>
        <w:rPr>
          <w:rFonts w:hint="eastAsia" w:ascii="Arial" w:hAnsi="Arial" w:eastAsia="宋体" w:cs="Arial"/>
          <w:i w:val="0"/>
          <w:iCs w:val="0"/>
          <w:color w:val="auto"/>
          <w:sz w:val="20"/>
          <w:highlight w:val="none"/>
          <w:lang w:val="en-US" w:eastAsia="zh-CN"/>
        </w:rPr>
        <w:t xml:space="preserve">In our understanding, similar with PC2 NR TDD band, the main idea of the FDD duty cycle </w:t>
      </w:r>
      <w:r>
        <w:rPr>
          <w:rFonts w:hint="eastAsia" w:ascii="Arial" w:hAnsi="Arial" w:eastAsia="宋体" w:cs="Arial"/>
          <w:b w:val="0"/>
          <w:bCs w:val="0"/>
          <w:color w:val="auto"/>
          <w:sz w:val="20"/>
          <w:szCs w:val="20"/>
          <w:highlight w:val="none"/>
          <w:lang w:val="en-US" w:eastAsia="zh-CN"/>
        </w:rPr>
        <w:t xml:space="preserve">is also to limit the </w:t>
      </w:r>
      <w:r>
        <w:rPr>
          <w:rFonts w:hint="default" w:ascii="Arial" w:hAnsi="Arial" w:eastAsia="宋体" w:cs="Arial"/>
          <w:b w:val="0"/>
          <w:bCs w:val="0"/>
          <w:color w:val="auto"/>
          <w:sz w:val="20"/>
          <w:szCs w:val="20"/>
          <w:highlight w:val="none"/>
          <w:lang w:val="en-US" w:eastAsia="zh-CN"/>
        </w:rPr>
        <w:t xml:space="preserve">percentage of </w:t>
      </w:r>
      <w:r>
        <w:rPr>
          <w:rFonts w:hint="eastAsia" w:ascii="Arial" w:hAnsi="Arial" w:eastAsia="宋体" w:cs="Arial"/>
          <w:b w:val="0"/>
          <w:bCs w:val="0"/>
          <w:color w:val="auto"/>
          <w:sz w:val="20"/>
          <w:szCs w:val="20"/>
          <w:highlight w:val="none"/>
          <w:lang w:val="en-US" w:eastAsia="zh-CN"/>
        </w:rPr>
        <w:t xml:space="preserve">FDD </w:t>
      </w:r>
      <w:r>
        <w:rPr>
          <w:rFonts w:hint="default" w:ascii="Arial" w:hAnsi="Arial" w:eastAsia="宋体" w:cs="Arial"/>
          <w:b w:val="0"/>
          <w:bCs w:val="0"/>
          <w:color w:val="auto"/>
          <w:sz w:val="20"/>
          <w:szCs w:val="20"/>
          <w:highlight w:val="none"/>
          <w:lang w:val="en-US" w:eastAsia="zh-CN"/>
        </w:rPr>
        <w:t>uplink symbols transmitted</w:t>
      </w:r>
      <w:r>
        <w:rPr>
          <w:rFonts w:hint="eastAsia" w:ascii="Arial" w:hAnsi="Arial" w:eastAsia="宋体" w:cs="Arial"/>
          <w:b w:val="0"/>
          <w:bCs w:val="0"/>
          <w:color w:val="auto"/>
          <w:sz w:val="20"/>
          <w:szCs w:val="20"/>
          <w:highlight w:val="none"/>
          <w:lang w:val="en-US" w:eastAsia="zh-CN"/>
        </w:rPr>
        <w:t>, and also PC2 FDD band should fall back to PC3 in case of the duty cycle condition is not met.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 xml:space="preserve">Proposal 1. Same </w:t>
      </w:r>
      <w:r>
        <w:rPr>
          <w:rFonts w:hint="eastAsia" w:ascii="Arial" w:hAnsi="Arial" w:eastAsia="宋体" w:cs="Arial"/>
          <w:b/>
          <w:bCs/>
          <w:i w:val="0"/>
          <w:color w:val="auto"/>
          <w:sz w:val="20"/>
          <w:highlight w:val="none"/>
          <w:lang w:val="en-US" w:eastAsia="zh-CN"/>
        </w:rPr>
        <w:t>duty cycle capability for HPUE FR1 TDD bands can be reused for HPUE FDD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u w:val="single"/>
          <w:lang w:val="en-US" w:eastAsia="zh-CN"/>
        </w:rPr>
      </w:pPr>
      <w:r>
        <w:rPr>
          <w:rFonts w:hint="eastAsia" w:ascii="Arial" w:hAnsi="Arial" w:eastAsia="宋体" w:cs="Arial"/>
          <w:b/>
          <w:bCs/>
          <w:color w:val="auto"/>
          <w:sz w:val="20"/>
          <w:szCs w:val="20"/>
          <w:highlight w:val="none"/>
          <w:u w:val="single"/>
          <w:lang w:val="en-US" w:eastAsia="zh-CN"/>
        </w:rPr>
        <w:t>Rx REFSEN degradation</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Another aspect for PC2 FDD band should be taken into account is the self-degradation, i.e. REFSEN. Due to the max. Tx output power is increased by 3dB, two RF architectures were mentioned in the last meeting:</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1: one 26dBm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2: 2*23dBm PA</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 xml:space="preserve">For the 2*23dBm architecture, the REFSEN can be foreseen as unchanged. However, due to extra RF chain is introduced, which will cause UE size increase, especially a multitude of RF chains are integrated for a UE supporting many bands in a limited size.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 xml:space="preserve">For one 26dBm PA, some concerns were raised according to the discussion in last meeting since some technical issues for the PA design such as </w:t>
      </w:r>
      <w:r>
        <w:rPr>
          <w:rFonts w:hint="eastAsia" w:ascii="Arial" w:hAnsi="Arial" w:eastAsia="宋体" w:cs="Arial"/>
          <w:color w:val="auto"/>
          <w:sz w:val="20"/>
          <w:highlight w:val="none"/>
          <w:u w:val="none"/>
          <w:lang w:val="en-US" w:eastAsia="zh-CN"/>
        </w:rPr>
        <w:t>peak and average power and thermal</w:t>
      </w:r>
      <w:r>
        <w:rPr>
          <w:rFonts w:hint="eastAsia" w:ascii="Arial" w:hAnsi="Arial" w:eastAsia="宋体" w:cs="Arial"/>
          <w:b w:val="0"/>
          <w:bCs w:val="0"/>
          <w:color w:val="auto"/>
          <w:sz w:val="20"/>
          <w:szCs w:val="20"/>
          <w:highlight w:val="none"/>
          <w:u w:val="none"/>
          <w:lang w:val="en-US" w:eastAsia="zh-CN"/>
        </w:rPr>
        <w:t xml:space="preserve"> noise increase. Also, duplexer performance is another factor need to be considered in 26dBm PA implementation. Although there exists some challenges for one 26dBm PA, we still think one 26dBm PA RF architecture is a feasible implementation.</w:t>
      </w:r>
    </w:p>
    <w:p>
      <w:pPr>
        <w:keepNext/>
        <w:keepLines/>
        <w:pageBreakBefore w:val="0"/>
        <w:widowControl w:val="0"/>
        <w:numPr>
          <w:ilvl w:val="-1"/>
          <w:numId w:val="0"/>
        </w:numPr>
        <w:kinsoku/>
        <w:wordWrap/>
        <w:overflowPunct/>
        <w:topLinePunct w:val="0"/>
        <w:autoSpaceDE/>
        <w:autoSpaceDN/>
        <w:bidi w:val="0"/>
        <w:adjustRightInd/>
        <w:snapToGrid/>
        <w:spacing w:after="120"/>
        <w:textAlignment w:val="auto"/>
        <w:outlineLvl w:val="9"/>
        <w:rPr>
          <w:rFonts w:hint="eastAsia" w:ascii="Arial" w:hAnsi="Arial" w:eastAsia="宋体" w:cs="Arial"/>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 xml:space="preserve">Due to the characteristic of FDD band, some RF requirements, such as REFSEN, are strongly related to the band, such as Tx-Rx frequency range, duplexer gap, even the supported channel bandwidth. So it may </w:t>
      </w:r>
      <w:r>
        <w:rPr>
          <w:rFonts w:hint="eastAsia" w:ascii="Arial" w:hAnsi="Arial" w:eastAsia="宋体" w:cs="Arial"/>
          <w:color w:val="auto"/>
          <w:sz w:val="20"/>
          <w:szCs w:val="20"/>
          <w:highlight w:val="none"/>
          <w:u w:val="none"/>
          <w:lang w:val="en-US" w:eastAsia="zh-CN"/>
        </w:rPr>
        <w:t>not feasible that all FDD bands can be used for PC2. Case by Case studies are needed.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u w:val="single"/>
          <w:lang w:val="en-US" w:eastAsia="zh-CN"/>
        </w:rPr>
      </w:pPr>
      <w:r>
        <w:rPr>
          <w:rFonts w:hint="eastAsia" w:ascii="Arial" w:hAnsi="Arial" w:eastAsia="宋体" w:cs="Arial"/>
          <w:b/>
          <w:bCs/>
          <w:color w:val="auto"/>
          <w:sz w:val="20"/>
          <w:szCs w:val="20"/>
          <w:highlight w:val="none"/>
          <w:u w:val="single"/>
          <w:lang w:val="en-US" w:eastAsia="zh-CN"/>
        </w:rPr>
        <w:t>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color w:val="auto"/>
          <w:sz w:val="20"/>
          <w:highlight w:val="none"/>
          <w:lang w:val="en-US" w:eastAsia="zh-CN"/>
        </w:rPr>
      </w:pPr>
      <w:r>
        <w:rPr>
          <w:rFonts w:hint="eastAsia" w:ascii="Arial" w:hAnsi="Arial" w:eastAsia="宋体" w:cs="Arial"/>
          <w:b w:val="0"/>
          <w:bCs w:val="0"/>
          <w:color w:val="auto"/>
          <w:sz w:val="20"/>
          <w:szCs w:val="20"/>
          <w:highlight w:val="none"/>
          <w:u w:val="none"/>
          <w:lang w:val="en-US" w:eastAsia="zh-CN"/>
        </w:rPr>
        <w:t xml:space="preserve">For band n1, company have already provide some </w:t>
      </w:r>
      <w:r>
        <w:rPr>
          <w:rFonts w:hint="eastAsia" w:ascii="Arial" w:hAnsi="Arial" w:eastAsia="宋体" w:cs="Arial"/>
          <w:color w:val="auto"/>
          <w:sz w:val="20"/>
          <w:highlight w:val="none"/>
          <w:lang w:val="en-US" w:eastAsia="zh-CN"/>
        </w:rPr>
        <w:t>e</w:t>
      </w:r>
      <w:r>
        <w:rPr>
          <w:rFonts w:ascii="Arial" w:hAnsi="Arial" w:eastAsia="宋体" w:cs="Arial"/>
          <w:color w:val="auto"/>
          <w:sz w:val="20"/>
          <w:highlight w:val="none"/>
          <w:lang w:val="en-US" w:eastAsia="zh-CN"/>
        </w:rPr>
        <w:t xml:space="preserve">xperimental </w:t>
      </w:r>
      <w:r>
        <w:rPr>
          <w:rFonts w:hint="eastAsia" w:ascii="Arial" w:hAnsi="Arial" w:eastAsia="宋体" w:cs="Arial"/>
          <w:color w:val="auto"/>
          <w:sz w:val="20"/>
          <w:highlight w:val="none"/>
          <w:lang w:val="en-US" w:eastAsia="zh-CN"/>
        </w:rPr>
        <w:t>m</w:t>
      </w:r>
      <w:r>
        <w:rPr>
          <w:rFonts w:ascii="Arial" w:hAnsi="Arial" w:eastAsia="宋体" w:cs="Arial"/>
          <w:color w:val="auto"/>
          <w:sz w:val="20"/>
          <w:highlight w:val="none"/>
          <w:lang w:val="en-US" w:eastAsia="zh-CN"/>
        </w:rPr>
        <w:t xml:space="preserve">easurements for </w:t>
      </w:r>
      <w:r>
        <w:rPr>
          <w:rFonts w:hint="eastAsia" w:ascii="Arial" w:hAnsi="Arial" w:eastAsia="宋体" w:cs="Arial"/>
          <w:color w:val="auto"/>
          <w:sz w:val="20"/>
          <w:highlight w:val="none"/>
          <w:lang w:val="en-US" w:eastAsia="zh-CN"/>
        </w:rPr>
        <w:t xml:space="preserve">PC3 </w:t>
      </w:r>
      <w:r>
        <w:rPr>
          <w:rFonts w:ascii="Arial" w:hAnsi="Arial" w:eastAsia="宋体" w:cs="Arial"/>
          <w:color w:val="auto"/>
          <w:sz w:val="20"/>
          <w:highlight w:val="none"/>
          <w:lang w:val="en-US" w:eastAsia="zh-CN"/>
        </w:rPr>
        <w:t>n1 40MHz</w:t>
      </w:r>
      <w:r>
        <w:rPr>
          <w:rFonts w:hint="eastAsia" w:ascii="Arial" w:hAnsi="Arial" w:eastAsia="宋体" w:cs="Arial"/>
          <w:color w:val="auto"/>
          <w:sz w:val="20"/>
          <w:highlight w:val="none"/>
          <w:lang w:val="en-US" w:eastAsia="zh-CN"/>
        </w:rPr>
        <w:t xml:space="preserve"> and 50MHz</w:t>
      </w:r>
      <w:r>
        <w:rPr>
          <w:rFonts w:ascii="Arial" w:hAnsi="Arial" w:eastAsia="宋体" w:cs="Arial"/>
          <w:color w:val="auto"/>
          <w:sz w:val="20"/>
          <w:highlight w:val="none"/>
          <w:lang w:val="en-US" w:eastAsia="zh-CN"/>
        </w:rPr>
        <w:t xml:space="preserve"> CBW REFSENS</w:t>
      </w:r>
      <w:r>
        <w:rPr>
          <w:rFonts w:hint="eastAsia" w:ascii="Arial" w:hAnsi="Arial" w:eastAsia="宋体" w:cs="Arial"/>
          <w:color w:val="auto"/>
          <w:sz w:val="20"/>
          <w:highlight w:val="none"/>
          <w:lang w:val="en-US" w:eastAsia="zh-CN"/>
        </w:rPr>
        <w:t xml:space="preserve"> in [2][3]. We cite some results as follow:</w:t>
      </w:r>
    </w:p>
    <w:p>
      <w:pPr>
        <w:keepNext/>
        <w:keepLines/>
        <w:pageBreakBefore w:val="0"/>
        <w:kinsoku/>
        <w:wordWrap/>
        <w:topLinePunct w:val="0"/>
        <w:bidi w:val="0"/>
        <w:snapToGrid/>
        <w:spacing w:after="120"/>
        <w:contextualSpacing/>
        <w:jc w:val="both"/>
        <w:rPr>
          <w:rFonts w:ascii="Arial" w:hAnsi="Arial" w:cs="Arial"/>
          <w:sz w:val="20"/>
          <w:szCs w:val="20"/>
        </w:rPr>
      </w:pPr>
      <w:r>
        <w:rPr>
          <w:rFonts w:ascii="Arial" w:hAnsi="Arial" w:cs="Arial"/>
          <w:sz w:val="20"/>
          <w:szCs w:val="20"/>
        </w:rPr>
        <w:t>The measured TX noise levels in RX band are:</w:t>
      </w:r>
    </w:p>
    <w:p>
      <w:pPr>
        <w:pStyle w:val="209"/>
        <w:keepNext/>
        <w:keepLines/>
        <w:pageBreakBefore w:val="0"/>
        <w:numPr>
          <w:ilvl w:val="0"/>
          <w:numId w:val="13"/>
        </w:numPr>
        <w:kinsoku/>
        <w:wordWrap/>
        <w:topLinePunct w:val="0"/>
        <w:bidi w:val="0"/>
        <w:snapToGrid/>
        <w:spacing w:after="120"/>
        <w:ind w:firstLineChars="0"/>
        <w:contextualSpacing/>
        <w:jc w:val="both"/>
        <w:rPr>
          <w:rFonts w:ascii="Arial" w:hAnsi="Arial" w:cs="Arial"/>
          <w:sz w:val="20"/>
          <w:szCs w:val="20"/>
        </w:rPr>
      </w:pPr>
      <w:r>
        <w:rPr>
          <w:rFonts w:ascii="Arial" w:hAnsi="Arial" w:cs="Arial"/>
          <w:sz w:val="20"/>
          <w:szCs w:val="20"/>
        </w:rPr>
        <w:t>25 MHz: -53.1 dBm,</w:t>
      </w:r>
    </w:p>
    <w:p>
      <w:pPr>
        <w:pStyle w:val="209"/>
        <w:keepNext/>
        <w:keepLines/>
        <w:pageBreakBefore w:val="0"/>
        <w:numPr>
          <w:ilvl w:val="0"/>
          <w:numId w:val="13"/>
        </w:numPr>
        <w:kinsoku/>
        <w:wordWrap/>
        <w:topLinePunct w:val="0"/>
        <w:bidi w:val="0"/>
        <w:snapToGrid/>
        <w:spacing w:after="120"/>
        <w:ind w:firstLineChars="0"/>
        <w:contextualSpacing/>
        <w:jc w:val="both"/>
        <w:rPr>
          <w:rFonts w:ascii="Arial" w:hAnsi="Arial" w:cs="Arial"/>
          <w:sz w:val="20"/>
          <w:szCs w:val="20"/>
        </w:rPr>
      </w:pPr>
      <w:r>
        <w:rPr>
          <w:rFonts w:ascii="Arial" w:hAnsi="Arial" w:cs="Arial"/>
          <w:sz w:val="20"/>
          <w:szCs w:val="20"/>
        </w:rPr>
        <w:t>30 MHz: -52.1 dBm,</w:t>
      </w:r>
    </w:p>
    <w:p>
      <w:pPr>
        <w:pStyle w:val="209"/>
        <w:keepNext/>
        <w:keepLines/>
        <w:pageBreakBefore w:val="0"/>
        <w:numPr>
          <w:ilvl w:val="0"/>
          <w:numId w:val="13"/>
        </w:numPr>
        <w:kinsoku/>
        <w:wordWrap/>
        <w:topLinePunct w:val="0"/>
        <w:bidi w:val="0"/>
        <w:snapToGrid/>
        <w:spacing w:after="120"/>
        <w:ind w:firstLineChars="0"/>
        <w:contextualSpacing/>
        <w:jc w:val="both"/>
        <w:rPr>
          <w:rFonts w:ascii="Arial" w:hAnsi="Arial" w:cs="Arial"/>
          <w:sz w:val="20"/>
          <w:szCs w:val="20"/>
        </w:rPr>
      </w:pPr>
      <w:r>
        <w:rPr>
          <w:rFonts w:ascii="Arial" w:hAnsi="Arial" w:cs="Arial"/>
          <w:sz w:val="20"/>
          <w:szCs w:val="20"/>
        </w:rPr>
        <w:t>40 MHz: -50.4 dBm</w:t>
      </w:r>
      <w:r>
        <w:rPr>
          <w:rFonts w:hint="eastAsia" w:ascii="Arial" w:hAnsi="Arial" w:cs="Arial"/>
          <w:sz w:val="20"/>
          <w:szCs w:val="20"/>
          <w:lang w:val="en-US" w:eastAsia="zh-CN"/>
        </w:rPr>
        <w:t>,</w:t>
      </w:r>
    </w:p>
    <w:p>
      <w:pPr>
        <w:pStyle w:val="209"/>
        <w:keepNext/>
        <w:keepLines/>
        <w:pageBreakBefore w:val="0"/>
        <w:numPr>
          <w:ilvl w:val="0"/>
          <w:numId w:val="13"/>
        </w:numPr>
        <w:kinsoku/>
        <w:wordWrap/>
        <w:topLinePunct w:val="0"/>
        <w:bidi w:val="0"/>
        <w:snapToGrid/>
        <w:spacing w:after="120"/>
        <w:ind w:firstLineChars="0"/>
        <w:contextualSpacing/>
        <w:jc w:val="both"/>
        <w:rPr>
          <w:rFonts w:ascii="Arial" w:hAnsi="Arial" w:cs="Arial"/>
          <w:sz w:val="20"/>
          <w:szCs w:val="20"/>
        </w:rPr>
      </w:pPr>
      <w:r>
        <w:rPr>
          <w:rFonts w:hint="eastAsia" w:ascii="Arial" w:hAnsi="Arial" w:cs="Arial"/>
          <w:sz w:val="20"/>
          <w:szCs w:val="20"/>
          <w:lang w:val="en-US" w:eastAsia="zh-CN"/>
        </w:rPr>
        <w:t>5</w:t>
      </w:r>
      <w:r>
        <w:rPr>
          <w:rFonts w:ascii="Arial" w:hAnsi="Arial" w:cs="Arial"/>
          <w:sz w:val="20"/>
          <w:szCs w:val="20"/>
        </w:rPr>
        <w:t>0 MHz: -</w:t>
      </w:r>
      <w:r>
        <w:rPr>
          <w:rFonts w:hint="eastAsia" w:ascii="Arial" w:hAnsi="Arial" w:cs="Arial"/>
          <w:sz w:val="20"/>
          <w:szCs w:val="20"/>
          <w:lang w:val="en-US" w:eastAsia="zh-CN"/>
        </w:rPr>
        <w:t>48</w:t>
      </w:r>
      <w:r>
        <w:rPr>
          <w:rFonts w:ascii="Arial" w:hAnsi="Arial" w:cs="Arial"/>
          <w:sz w:val="20"/>
          <w:szCs w:val="20"/>
        </w:rPr>
        <w:t>.4 dBm</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u w:val="none"/>
          <w:lang w:val="en-US" w:eastAsia="zh-CN"/>
        </w:rPr>
      </w:pPr>
      <w:r>
        <w:rPr>
          <w:rFonts w:hint="eastAsia" w:ascii="Arial" w:hAnsi="Arial" w:eastAsia="宋体" w:cs="Arial"/>
          <w:b w:val="0"/>
          <w:bCs w:val="0"/>
          <w:color w:val="auto"/>
          <w:sz w:val="20"/>
          <w:szCs w:val="20"/>
          <w:highlight w:val="none"/>
          <w:u w:val="none"/>
          <w:lang w:val="en-US" w:eastAsia="zh-CN"/>
        </w:rPr>
        <w:t>In addition, 50 dB Tx to RX and Tx to Antenna duplexer rejection in Rx band, as a worst case assumption. With the above measurement, the MSD levels for &gt;=25MHz channel bandwidths are less than 0.5dB. It should be noted that there are no CIM3/5 issue for band n1. Consequently, the REFENS requirements are scaled by the channel bandwidth.</w:t>
      </w:r>
    </w:p>
    <w:tbl>
      <w:tblPr>
        <w:tblStyle w:val="7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1782"/>
        <w:gridCol w:w="969"/>
        <w:gridCol w:w="969"/>
        <w:gridCol w:w="969"/>
        <w:gridCol w:w="9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255" w:hRule="atLeast"/>
          <w:jc w:val="center"/>
        </w:trPr>
        <w:tc>
          <w:tcPr>
            <w:tcW w:w="1782" w:type="dxa"/>
            <w:tcBorders>
              <w:bottom w:val="single" w:color="000000" w:themeColor="text1" w:sz="4" w:space="0"/>
              <w:tl2br w:val="nil"/>
              <w:tr2bl w:val="nil"/>
            </w:tcBorders>
            <w:shd w:val="clear" w:color="auto" w:fill="auto"/>
            <w:noWrap/>
            <w:tcMar>
              <w:top w:w="15" w:type="dxa"/>
              <w:left w:w="15" w:type="dxa"/>
              <w:right w:w="15" w:type="dxa"/>
            </w:tcMar>
            <w:vAlign w:val="bottom"/>
          </w:tcPr>
          <w:p>
            <w:pPr>
              <w:keepNext/>
              <w:keepLines/>
              <w:pageBreakBefore w:val="0"/>
              <w:kinsoku/>
              <w:wordWrap/>
              <w:topLinePunct w:val="0"/>
              <w:bidi w:val="0"/>
              <w:snapToGrid/>
              <w:rPr>
                <w:rFonts w:hint="eastAsia" w:ascii="Arial" w:hAnsi="Arial" w:eastAsia="宋体" w:cs="Arial"/>
                <w:i w:val="0"/>
                <w:color w:val="000000"/>
                <w:sz w:val="20"/>
                <w:szCs w:val="20"/>
                <w:u w:val="none"/>
              </w:rPr>
            </w:pPr>
          </w:p>
        </w:tc>
        <w:tc>
          <w:tcPr>
            <w:tcW w:w="969" w:type="dxa"/>
            <w:tcBorders>
              <w:bottom w:val="single" w:color="000000" w:themeColor="text1" w:sz="4" w:space="0"/>
              <w:tl2br w:val="nil"/>
              <w:tr2bl w:val="nil"/>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25MHz</w:t>
            </w:r>
          </w:p>
        </w:tc>
        <w:tc>
          <w:tcPr>
            <w:tcW w:w="969" w:type="dxa"/>
            <w:tcBorders>
              <w:bottom w:val="single" w:color="000000" w:themeColor="text1" w:sz="4" w:space="0"/>
              <w:tl2br w:val="nil"/>
              <w:tr2bl w:val="nil"/>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30MHz</w:t>
            </w:r>
          </w:p>
        </w:tc>
        <w:tc>
          <w:tcPr>
            <w:tcW w:w="969" w:type="dxa"/>
            <w:tcBorders>
              <w:bottom w:val="single" w:color="000000" w:themeColor="text1" w:sz="4" w:space="0"/>
              <w:tl2br w:val="nil"/>
              <w:tr2bl w:val="nil"/>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40MHz</w:t>
            </w:r>
          </w:p>
        </w:tc>
        <w:tc>
          <w:tcPr>
            <w:tcW w:w="971" w:type="dxa"/>
            <w:tcBorders>
              <w:bottom w:val="single" w:color="000000" w:themeColor="text1" w:sz="4" w:space="0"/>
              <w:tl2br w:val="nil"/>
              <w:tr2bl w:val="nil"/>
            </w:tcBorders>
            <w:shd w:val="clear" w:color="auto" w:fill="auto"/>
            <w:noWrap/>
            <w:tcMar>
              <w:top w:w="15" w:type="dxa"/>
              <w:left w:w="15" w:type="dxa"/>
              <w:right w:w="15" w:type="dxa"/>
            </w:tcMar>
            <w:vAlign w:val="bottom"/>
          </w:tcPr>
          <w:p>
            <w:pPr>
              <w:keepNext/>
              <w:keepLines/>
              <w:pageBreakBefore w:val="0"/>
              <w:widowControl/>
              <w:suppressLineNumbers w:val="0"/>
              <w:kinsoku/>
              <w:wordWrap/>
              <w:topLinePunct w:val="0"/>
              <w:bidi w:val="0"/>
              <w:snapToGrid/>
              <w:jc w:val="center"/>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50MHz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178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tcMar>
              <w:top w:w="15" w:type="dxa"/>
              <w:left w:w="15" w:type="dxa"/>
              <w:right w:w="15" w:type="dxa"/>
            </w:tcMar>
            <w:vAlign w:val="bottom"/>
          </w:tcPr>
          <w:p>
            <w:pPr>
              <w:keepNext/>
              <w:keepLines/>
              <w:pageBreakBefore w:val="0"/>
              <w:widowControl/>
              <w:suppressLineNumbers w:val="0"/>
              <w:kinsoku/>
              <w:wordWrap/>
              <w:topLinePunct w:val="0"/>
              <w:bidi w:val="0"/>
              <w:snapToGrid/>
              <w:jc w:val="left"/>
              <w:textAlignment w:val="bottom"/>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After MRC(corr)</w:t>
            </w:r>
          </w:p>
        </w:tc>
        <w:tc>
          <w:tcPr>
            <w:tcW w:w="9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0.33 </w:t>
            </w:r>
          </w:p>
        </w:tc>
        <w:tc>
          <w:tcPr>
            <w:tcW w:w="9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0.34 </w:t>
            </w:r>
          </w:p>
        </w:tc>
        <w:tc>
          <w:tcPr>
            <w:tcW w:w="9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0.37 </w:t>
            </w:r>
          </w:p>
        </w:tc>
        <w:tc>
          <w:tcPr>
            <w:tcW w:w="97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noWrap/>
            <w:tcMar>
              <w:top w:w="15" w:type="dxa"/>
              <w:left w:w="15" w:type="dxa"/>
              <w:right w:w="15" w:type="dxa"/>
            </w:tcMar>
            <w:vAlign w:val="center"/>
          </w:tcPr>
          <w:p>
            <w:pPr>
              <w:keepNext/>
              <w:keepLines/>
              <w:pageBreakBefore w:val="0"/>
              <w:widowControl/>
              <w:suppressLineNumbers w:val="0"/>
              <w:kinsoku/>
              <w:wordWrap/>
              <w:topLinePunct w:val="0"/>
              <w:bidi w:val="0"/>
              <w:snapToGrid/>
              <w:jc w:val="center"/>
              <w:textAlignment w:val="center"/>
              <w:rPr>
                <w:rFonts w:hint="default" w:ascii="Arial" w:hAnsi="Arial" w:eastAsia="宋体" w:cs="Arial"/>
                <w:i w:val="0"/>
                <w:color w:val="000000"/>
                <w:sz w:val="20"/>
                <w:szCs w:val="20"/>
                <w:u w:val="none"/>
              </w:rPr>
            </w:pPr>
            <w:r>
              <w:rPr>
                <w:rFonts w:hint="default" w:ascii="Arial" w:hAnsi="Arial" w:eastAsia="宋体" w:cs="Arial"/>
                <w:i w:val="0"/>
                <w:color w:val="000000"/>
                <w:kern w:val="0"/>
                <w:sz w:val="20"/>
                <w:szCs w:val="20"/>
                <w:u w:val="none"/>
                <w:lang w:val="en-US" w:eastAsia="zh-CN" w:bidi="ar"/>
              </w:rPr>
              <w:t xml:space="preserve">0.46 </w:t>
            </w:r>
          </w:p>
        </w:tc>
      </w:tr>
    </w:tbl>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Although the MSD levels are less than 0.5dB, the values are close to 0.5dB, especially for 50MHz case, which means if the </w:t>
      </w:r>
      <w:r>
        <w:rPr>
          <w:rFonts w:ascii="Arial" w:hAnsi="Arial" w:cs="Arial"/>
          <w:sz w:val="20"/>
          <w:szCs w:val="20"/>
        </w:rPr>
        <w:t>TX noise levels in RX band</w:t>
      </w:r>
      <w:r>
        <w:rPr>
          <w:rFonts w:hint="eastAsia" w:ascii="Arial" w:hAnsi="Arial" w:eastAsia="宋体" w:cs="Arial"/>
          <w:sz w:val="20"/>
          <w:szCs w:val="20"/>
          <w:lang w:val="en-US" w:eastAsia="zh-CN"/>
        </w:rPr>
        <w:t xml:space="preserve"> increased, then the MSD values will easily exceed 0.5dB.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Here we increase the delta P(From 0~6dB) on top of the above measured Tx noise levels in Rx band to roughly simulate the PC2 case, the MSD levels are shown in the follow:</w:t>
      </w:r>
    </w:p>
    <w:p>
      <w:pPr>
        <w:keepNext/>
        <w:keepLines/>
        <w:pageBreakBefore w:val="0"/>
        <w:widowControl w:val="0"/>
        <w:numPr>
          <w:ilvl w:val="-1"/>
          <w:numId w:val="0"/>
        </w:numPr>
        <w:kinsoku/>
        <w:wordWrap/>
        <w:overflowPunct/>
        <w:topLinePunct w:val="0"/>
        <w:autoSpaceDE/>
        <w:autoSpaceDN/>
        <w:bidi w:val="0"/>
        <w:adjustRightInd/>
        <w:snapToGrid/>
        <w:spacing w:after="120"/>
        <w:ind w:leftChars="0"/>
        <w:jc w:val="center"/>
        <w:textAlignment w:val="auto"/>
        <w:outlineLvl w:val="9"/>
        <w:rPr>
          <w:rFonts w:hint="eastAsia" w:ascii="Arial" w:hAnsi="Arial" w:eastAsia="宋体" w:cs="Arial"/>
          <w:b w:val="0"/>
          <w:bCs w:val="0"/>
          <w:color w:val="auto"/>
          <w:sz w:val="20"/>
          <w:szCs w:val="20"/>
          <w:highlight w:val="none"/>
          <w:lang w:val="en-US" w:eastAsia="zh-CN"/>
        </w:rPr>
      </w:pPr>
      <w:r>
        <w:drawing>
          <wp:inline distT="0" distB="0" distL="114300" distR="114300">
            <wp:extent cx="3693160" cy="1946275"/>
            <wp:effectExtent l="0" t="0" r="254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693160" cy="1946275"/>
                    </a:xfrm>
                    <a:prstGeom prst="rect">
                      <a:avLst/>
                    </a:prstGeom>
                    <a:noFill/>
                    <a:ln>
                      <a:noFill/>
                    </a:ln>
                  </pic:spPr>
                </pic:pic>
              </a:graphicData>
            </a:graphic>
          </wp:inline>
        </w:drawing>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In can be seen that the MSD levels are increased by the delta P due to the total Tx </w:t>
      </w:r>
      <w:r>
        <w:rPr>
          <w:rFonts w:ascii="Arial" w:hAnsi="Arial" w:cs="Arial"/>
          <w:sz w:val="20"/>
          <w:szCs w:val="20"/>
        </w:rPr>
        <w:t xml:space="preserve"> noise levels in RX band </w:t>
      </w:r>
      <w:r>
        <w:rPr>
          <w:rFonts w:hint="eastAsia" w:ascii="Arial" w:hAnsi="Arial" w:eastAsia="宋体" w:cs="Arial"/>
          <w:sz w:val="20"/>
          <w:szCs w:val="20"/>
          <w:lang w:val="en-US" w:eastAsia="zh-CN"/>
        </w:rPr>
        <w:t>increased</w:t>
      </w:r>
      <w:r>
        <w:rPr>
          <w:rFonts w:hint="eastAsia" w:ascii="Arial" w:hAnsi="Arial" w:eastAsia="宋体" w:cs="Arial"/>
          <w:b w:val="0"/>
          <w:bCs w:val="0"/>
          <w:color w:val="auto"/>
          <w:sz w:val="20"/>
          <w:szCs w:val="20"/>
          <w:highlight w:val="none"/>
          <w:lang w:val="en-US" w:eastAsia="zh-CN"/>
        </w:rPr>
        <w:t>. When the delta P=2dB, then all of MSD levels are exceed 0.5dB. For 50MHz, the MSD~=1.5dB</w:t>
      </w:r>
      <w:r>
        <w:rPr>
          <w:rFonts w:hint="eastAsia" w:ascii="Arial" w:hAnsi="Arial" w:eastAsia="宋体" w:cs="Arial"/>
          <w:sz w:val="20"/>
          <w:szCs w:val="20"/>
          <w:lang w:val="en-US" w:eastAsia="zh-CN"/>
        </w:rPr>
        <w:t xml:space="preserve">,which means additional degradation needs to be considered. However, it </w:t>
      </w:r>
      <w:r>
        <w:rPr>
          <w:rFonts w:hint="eastAsia" w:ascii="Arial" w:hAnsi="Arial" w:eastAsia="宋体" w:cs="Arial"/>
          <w:b w:val="0"/>
          <w:bCs w:val="0"/>
          <w:color w:val="auto"/>
          <w:sz w:val="20"/>
          <w:szCs w:val="20"/>
          <w:highlight w:val="none"/>
          <w:lang w:val="en-US" w:eastAsia="zh-CN"/>
        </w:rPr>
        <w:t xml:space="preserve">seems little impact on the REFSEN requirements by increasing delta P, i.e. increasing of 1dB delta P result in &lt;0.2dB MSD worsen. </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 xml:space="preserve">If considering the </w:t>
      </w:r>
      <w:r>
        <w:rPr>
          <w:rFonts w:hint="eastAsia" w:ascii="Arial" w:hAnsi="Arial" w:eastAsia="宋体" w:cs="Arial"/>
          <w:color w:val="auto"/>
          <w:sz w:val="20"/>
          <w:highlight w:val="none"/>
          <w:lang w:val="en-US" w:eastAsia="zh-CN"/>
        </w:rPr>
        <w:t>today</w:t>
      </w:r>
      <w:r>
        <w:rPr>
          <w:rFonts w:hint="default" w:ascii="Arial" w:hAnsi="Arial" w:eastAsia="宋体" w:cs="Arial"/>
          <w:color w:val="auto"/>
          <w:sz w:val="20"/>
          <w:highlight w:val="none"/>
          <w:lang w:val="en-US" w:eastAsia="zh-CN"/>
        </w:rPr>
        <w:t>’</w:t>
      </w:r>
      <w:r>
        <w:rPr>
          <w:rFonts w:hint="eastAsia" w:ascii="Arial" w:hAnsi="Arial" w:eastAsia="宋体" w:cs="Arial"/>
          <w:color w:val="auto"/>
          <w:sz w:val="20"/>
          <w:highlight w:val="none"/>
          <w:lang w:val="en-US" w:eastAsia="zh-CN"/>
        </w:rPr>
        <w:t xml:space="preserve">s duplexer state-of-the-art as stated in [3], duplexers can achieve better isolation than what was used as an assumption (i.e. 50dB) for LTE FDD bands and copied to NR, assuming an additional 3dB (even 5dB) is feasible. With an aggressive duplexer assumption such as 55dB, then the MSD levels for all supported channel bandwidth will be kept within 0.5dB, which means no additional </w:t>
      </w:r>
      <w:r>
        <w:rPr>
          <w:rFonts w:hint="eastAsia" w:ascii="Arial" w:hAnsi="Arial" w:eastAsia="宋体" w:cs="Arial"/>
          <w:b w:val="0"/>
          <w:bCs w:val="0"/>
          <w:color w:val="auto"/>
          <w:sz w:val="20"/>
          <w:szCs w:val="20"/>
          <w:highlight w:val="none"/>
          <w:lang w:val="en-US" w:eastAsia="zh-CN"/>
        </w:rPr>
        <w:t>REFSEN degradation needs to be considered.</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Observation 1.</w:t>
      </w:r>
      <w:r>
        <w:rPr>
          <w:rFonts w:hint="eastAsia" w:ascii="Arial" w:hAnsi="Arial" w:eastAsia="宋体" w:cs="Arial"/>
          <w:b/>
          <w:bCs/>
          <w:sz w:val="20"/>
          <w:szCs w:val="20"/>
          <w:lang w:val="en-US" w:eastAsia="zh-CN"/>
        </w:rPr>
        <w:t xml:space="preserve">Taking more aggressive duplexer assumption into account, </w:t>
      </w:r>
      <w:r>
        <w:rPr>
          <w:rFonts w:hint="eastAsia" w:ascii="Arial" w:hAnsi="Arial" w:eastAsia="宋体" w:cs="Arial"/>
          <w:b/>
          <w:bCs/>
          <w:color w:val="auto"/>
          <w:sz w:val="20"/>
          <w:szCs w:val="20"/>
          <w:highlight w:val="none"/>
          <w:lang w:val="en-US" w:eastAsia="zh-CN"/>
        </w:rPr>
        <w:t>n</w:t>
      </w:r>
      <w:r>
        <w:rPr>
          <w:rFonts w:hint="eastAsia" w:ascii="Arial" w:hAnsi="Arial" w:eastAsia="宋体" w:cs="Arial"/>
          <w:b/>
          <w:bCs/>
          <w:sz w:val="20"/>
          <w:szCs w:val="20"/>
          <w:lang w:val="en-US" w:eastAsia="zh-CN"/>
        </w:rPr>
        <w:t>o additional REFSEN degradation might need to be considered for PC2 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u w:val="single"/>
          <w:lang w:val="en-US" w:eastAsia="zh-CN"/>
        </w:rPr>
      </w:pPr>
      <w:r>
        <w:rPr>
          <w:rFonts w:hint="eastAsia" w:ascii="Arial" w:hAnsi="Arial" w:eastAsia="宋体" w:cs="Arial"/>
          <w:b/>
          <w:bCs/>
          <w:color w:val="auto"/>
          <w:sz w:val="20"/>
          <w:szCs w:val="20"/>
          <w:highlight w:val="none"/>
          <w:u w:val="single"/>
          <w:lang w:val="en-US" w:eastAsia="zh-CN"/>
        </w:rPr>
        <w:t>band n3</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20"/>
          <w:szCs w:val="20"/>
          <w:highlight w:val="none"/>
          <w:lang w:val="en-US" w:eastAsia="zh-CN"/>
        </w:rPr>
      </w:pPr>
      <w:r>
        <w:rPr>
          <w:rFonts w:hint="eastAsia" w:ascii="Arial" w:hAnsi="Arial" w:eastAsia="宋体" w:cs="Arial"/>
          <w:b w:val="0"/>
          <w:bCs w:val="0"/>
          <w:color w:val="auto"/>
          <w:sz w:val="20"/>
          <w:szCs w:val="20"/>
          <w:highlight w:val="none"/>
          <w:lang w:val="en-US" w:eastAsia="zh-CN"/>
        </w:rPr>
        <w:t>Due to only 20MHz duplexer gap for band n3, and when RAN4 discussed the 40MHz for PC3 band n3, CIM5 issues should be specified which will further degrade the REFSEN requirements, also for the upcoming 50MHz, CIM5 issues should also need to be specified. When the maximum output power increase 3dB, CIM5 value will become large which will cause REFSEN degradation more severer.</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Observation 2. REFSEN degradation will become more severer for PC2 band n3, especially for 40/50MHz</w:t>
      </w:r>
      <w:r>
        <w:rPr>
          <w:rFonts w:hint="eastAsia" w:ascii="Arial" w:hAnsi="Arial" w:eastAsia="宋体" w:cs="Arial"/>
          <w:b/>
          <w:bCs/>
          <w:sz w:val="20"/>
          <w:szCs w:val="20"/>
          <w:lang w:val="en-US" w:eastAsia="zh-CN"/>
        </w:rPr>
        <w:t>.</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等线" w:cs="Arial"/>
          <w:sz w:val="20"/>
          <w:lang w:val="en-US" w:eastAsia="zh-CN"/>
        </w:rPr>
      </w:pPr>
      <w:r>
        <w:rPr>
          <w:rFonts w:hint="eastAsia" w:ascii="Arial" w:hAnsi="Arial" w:eastAsia="等线" w:cs="Arial"/>
          <w:sz w:val="20"/>
          <w:lang w:val="en-US" w:eastAsia="zh-CN"/>
        </w:rPr>
        <w:t xml:space="preserve">In this contribution, we </w:t>
      </w:r>
      <w:r>
        <w:rPr>
          <w:rFonts w:hint="eastAsia" w:ascii="Arial" w:hAnsi="Arial" w:eastAsia="宋体" w:cs="Arial"/>
          <w:i w:val="0"/>
          <w:iCs w:val="0"/>
          <w:color w:val="auto"/>
          <w:sz w:val="20"/>
          <w:szCs w:val="20"/>
          <w:highlight w:val="none"/>
          <w:lang w:val="en-US" w:eastAsia="zh-CN"/>
        </w:rPr>
        <w:t>give some discussions on the SAR</w:t>
      </w:r>
      <w:r>
        <w:rPr>
          <w:rFonts w:hint="default" w:ascii="Arial" w:hAnsi="Arial" w:eastAsia="等线" w:cs="Arial"/>
          <w:sz w:val="20"/>
          <w:lang w:eastAsia="zh-CN"/>
        </w:rPr>
        <w:t xml:space="preserve"> scheme</w:t>
      </w:r>
      <w:r>
        <w:rPr>
          <w:rFonts w:hint="eastAsia" w:ascii="Arial" w:hAnsi="Arial" w:eastAsia="等线" w:cs="Arial"/>
          <w:sz w:val="20"/>
          <w:lang w:val="en-US" w:eastAsia="zh-CN"/>
        </w:rPr>
        <w:t xml:space="preserve"> and self-interfering issue.</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eastAsia"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 xml:space="preserve">Proposal 1. Same </w:t>
      </w:r>
      <w:r>
        <w:rPr>
          <w:rFonts w:hint="eastAsia" w:ascii="Arial" w:hAnsi="Arial" w:eastAsia="宋体" w:cs="Arial"/>
          <w:b/>
          <w:bCs/>
          <w:i w:val="0"/>
          <w:color w:val="auto"/>
          <w:sz w:val="20"/>
          <w:highlight w:val="none"/>
          <w:lang w:val="en-US" w:eastAsia="zh-CN"/>
        </w:rPr>
        <w:t>duty cycle capability for HPUE FR1TDD bands can be reused for HPUE FDD bands.</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Observation 1.</w:t>
      </w:r>
      <w:r>
        <w:rPr>
          <w:rFonts w:hint="eastAsia" w:ascii="Arial" w:hAnsi="Arial" w:eastAsia="宋体" w:cs="Arial"/>
          <w:b/>
          <w:bCs/>
          <w:sz w:val="20"/>
          <w:szCs w:val="20"/>
          <w:lang w:val="en-US" w:eastAsia="zh-CN"/>
        </w:rPr>
        <w:t xml:space="preserve">Taking more aggressive duplexer assumption into account, </w:t>
      </w:r>
      <w:r>
        <w:rPr>
          <w:rFonts w:hint="eastAsia" w:ascii="Arial" w:hAnsi="Arial" w:eastAsia="宋体" w:cs="Arial"/>
          <w:b/>
          <w:bCs/>
          <w:color w:val="auto"/>
          <w:sz w:val="20"/>
          <w:szCs w:val="20"/>
          <w:highlight w:val="none"/>
          <w:lang w:val="en-US" w:eastAsia="zh-CN"/>
        </w:rPr>
        <w:t>n</w:t>
      </w:r>
      <w:r>
        <w:rPr>
          <w:rFonts w:hint="eastAsia" w:ascii="Arial" w:hAnsi="Arial" w:eastAsia="宋体" w:cs="Arial"/>
          <w:b/>
          <w:bCs/>
          <w:sz w:val="20"/>
          <w:szCs w:val="20"/>
          <w:lang w:val="en-US" w:eastAsia="zh-CN"/>
        </w:rPr>
        <w:t>o additional REFSEN degradation might need to be considered for PC2 band n1.</w:t>
      </w:r>
    </w:p>
    <w:p>
      <w:pPr>
        <w:keepNext/>
        <w:keepLines/>
        <w:pageBreakBefore w:val="0"/>
        <w:widowControl w:val="0"/>
        <w:numPr>
          <w:ilvl w:val="-1"/>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bCs/>
          <w:color w:val="auto"/>
          <w:sz w:val="20"/>
          <w:szCs w:val="20"/>
          <w:highlight w:val="none"/>
          <w:lang w:val="en-US" w:eastAsia="zh-CN"/>
        </w:rPr>
      </w:pPr>
      <w:r>
        <w:rPr>
          <w:rFonts w:hint="eastAsia" w:ascii="Arial" w:hAnsi="Arial" w:eastAsia="宋体" w:cs="Arial"/>
          <w:b/>
          <w:bCs/>
          <w:color w:val="auto"/>
          <w:sz w:val="20"/>
          <w:szCs w:val="20"/>
          <w:highlight w:val="none"/>
          <w:lang w:val="en-US" w:eastAsia="zh-CN"/>
        </w:rPr>
        <w:t>Observation 2. REFSEN degradation will become more severer for PC2 band n3, especially for 40/50MHz</w:t>
      </w:r>
      <w:r>
        <w:rPr>
          <w:rFonts w:hint="eastAsia" w:ascii="Arial" w:hAnsi="Arial" w:eastAsia="宋体" w:cs="Arial"/>
          <w:b/>
          <w:bCs/>
          <w:sz w:val="20"/>
          <w:szCs w:val="20"/>
          <w:lang w:val="en-US" w:eastAsia="zh-CN"/>
        </w:rPr>
        <w:t>.</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Arial" w:hAnsi="Arial" w:eastAsia="等线" w:cs="Arial"/>
          <w:sz w:val="20"/>
          <w:lang w:val="en-US" w:eastAsia="zh-CN"/>
        </w:rPr>
      </w:pP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kinsoku/>
        <w:wordWrap/>
        <w:overflowPunct/>
        <w:topLinePunct w:val="0"/>
        <w:autoSpaceDE/>
        <w:autoSpaceDN/>
        <w:bidi w:val="0"/>
        <w:adjustRightInd/>
        <w:snapToGrid/>
        <w:spacing w:after="120"/>
        <w:ind w:left="1985" w:hanging="1985"/>
        <w:textAlignment w:val="auto"/>
        <w:rPr>
          <w:rFonts w:hint="default" w:ascii="Arial" w:hAnsi="Arial" w:eastAsia="宋体" w:cs="Arial"/>
          <w:b w:val="0"/>
          <w:bCs w:val="0"/>
          <w:color w:val="auto"/>
          <w:sz w:val="20"/>
          <w:szCs w:val="20"/>
          <w:highlight w:val="none"/>
          <w:vertAlign w:val="baseline"/>
          <w:lang w:val="en-US" w:eastAsia="zh-CN"/>
        </w:rPr>
      </w:pPr>
      <w:r>
        <w:rPr>
          <w:rFonts w:hint="eastAsia" w:ascii="Arial" w:hAnsi="Arial" w:eastAsia="宋体" w:cs="Arial"/>
          <w:b w:val="0"/>
          <w:bCs w:val="0"/>
          <w:color w:val="auto"/>
          <w:sz w:val="20"/>
          <w:szCs w:val="20"/>
          <w:highlight w:val="none"/>
          <w:vertAlign w:val="baseline"/>
          <w:lang w:val="en-US" w:eastAsia="zh-CN"/>
        </w:rPr>
        <w:t xml:space="preserve">[1] R4-2103273, WF on PC2 for NR FDD band, </w:t>
      </w:r>
      <w:r>
        <w:rPr>
          <w:rFonts w:hint="default" w:ascii="Arial" w:hAnsi="Arial" w:eastAsia="宋体" w:cs="Arial"/>
          <w:b w:val="0"/>
          <w:bCs w:val="0"/>
          <w:color w:val="auto"/>
          <w:sz w:val="20"/>
          <w:szCs w:val="20"/>
          <w:highlight w:val="none"/>
          <w:vertAlign w:val="baseline"/>
          <w:lang w:val="en-US" w:eastAsia="zh-CN"/>
        </w:rPr>
        <w:t>China Unicom</w:t>
      </w:r>
      <w:r>
        <w:rPr>
          <w:rFonts w:hint="eastAsia" w:ascii="Arial" w:hAnsi="Arial" w:eastAsia="宋体" w:cs="Arial"/>
          <w:b w:val="0"/>
          <w:bCs w:val="0"/>
          <w:color w:val="auto"/>
          <w:sz w:val="20"/>
          <w:szCs w:val="20"/>
          <w:highlight w:val="none"/>
          <w:vertAlign w:val="baseline"/>
          <w:lang w:val="en-US" w:eastAsia="zh-CN"/>
        </w:rPr>
        <w:t>, etc</w:t>
      </w:r>
    </w:p>
    <w:p>
      <w:pPr>
        <w:keepNext/>
        <w:keepLines/>
        <w:pageBreakBefore w:val="0"/>
        <w:kinsoku/>
        <w:wordWrap/>
        <w:overflowPunct/>
        <w:topLinePunct w:val="0"/>
        <w:autoSpaceDE/>
        <w:autoSpaceDN/>
        <w:bidi w:val="0"/>
        <w:adjustRightInd/>
        <w:snapToGrid/>
        <w:spacing w:after="120"/>
        <w:ind w:left="0" w:firstLine="0"/>
        <w:textAlignment w:val="auto"/>
        <w:rPr>
          <w:rFonts w:ascii="Arial" w:hAnsi="Arial" w:eastAsia="宋体" w:cs="Arial"/>
          <w:color w:val="auto"/>
          <w:sz w:val="20"/>
          <w:highlight w:val="none"/>
          <w:lang w:val="en-US" w:eastAsia="zh-CN"/>
        </w:rPr>
      </w:pPr>
      <w:r>
        <w:rPr>
          <w:rFonts w:hint="eastAsia" w:ascii="Arial" w:hAnsi="Arial" w:eastAsia="宋体" w:cs="Arial"/>
          <w:bCs w:val="0"/>
          <w:color w:val="auto"/>
          <w:sz w:val="20"/>
          <w:highlight w:val="none"/>
          <w:lang w:val="en-US" w:eastAsia="zh-CN"/>
        </w:rPr>
        <w:t xml:space="preserve">[2] </w:t>
      </w:r>
      <w:r>
        <w:rPr>
          <w:rFonts w:ascii="Arial" w:hAnsi="Arial" w:eastAsia="宋体" w:cs="Arial"/>
          <w:bCs w:val="0"/>
          <w:color w:val="auto"/>
          <w:sz w:val="20"/>
          <w:highlight w:val="none"/>
          <w:lang w:val="en-US" w:eastAsia="zh-CN"/>
        </w:rPr>
        <w:t>R4-1916124</w:t>
      </w:r>
      <w:r>
        <w:rPr>
          <w:rFonts w:hint="default" w:ascii="Arial" w:hAnsi="Arial" w:eastAsia="宋体" w:cs="Arial"/>
          <w:bCs w:val="0"/>
          <w:color w:val="auto"/>
          <w:sz w:val="20"/>
          <w:highlight w:val="none"/>
          <w:lang w:val="en-US" w:eastAsia="zh-CN"/>
        </w:rPr>
        <w:t xml:space="preserve">, </w:t>
      </w:r>
      <w:r>
        <w:rPr>
          <w:rFonts w:ascii="Arial" w:hAnsi="Arial" w:eastAsia="宋体" w:cs="Arial"/>
          <w:color w:val="auto"/>
          <w:sz w:val="20"/>
          <w:highlight w:val="none"/>
          <w:lang w:val="en-US" w:eastAsia="zh-CN"/>
        </w:rPr>
        <w:t>Experimental Measurements for n1 40MHz CBW REFSENS and Band n34 Protection</w:t>
      </w:r>
      <w:r>
        <w:rPr>
          <w:rFonts w:hint="default" w:ascii="Arial" w:hAnsi="Arial" w:eastAsia="宋体" w:cs="Arial"/>
          <w:color w:val="auto"/>
          <w:sz w:val="20"/>
          <w:highlight w:val="none"/>
          <w:lang w:val="en-US" w:eastAsia="zh-CN"/>
        </w:rPr>
        <w:t xml:space="preserve">, </w:t>
      </w:r>
      <w:r>
        <w:rPr>
          <w:rFonts w:ascii="Arial" w:hAnsi="Arial" w:eastAsia="宋体" w:cs="Arial"/>
          <w:color w:val="auto"/>
          <w:sz w:val="20"/>
          <w:highlight w:val="none"/>
          <w:lang w:val="en-US" w:eastAsia="zh-CN"/>
        </w:rPr>
        <w:t>Skyworks Solutions, Inc.</w:t>
      </w:r>
    </w:p>
    <w:p>
      <w:pPr>
        <w:keepNext/>
        <w:keepLines/>
        <w:pageBreakBefore w:val="0"/>
        <w:kinsoku/>
        <w:wordWrap/>
        <w:overflowPunct/>
        <w:topLinePunct w:val="0"/>
        <w:autoSpaceDE/>
        <w:autoSpaceDN/>
        <w:bidi w:val="0"/>
        <w:adjustRightInd/>
        <w:snapToGrid/>
        <w:spacing w:after="120"/>
        <w:ind w:left="0" w:firstLine="0"/>
        <w:textAlignment w:val="auto"/>
        <w:rPr>
          <w:rFonts w:ascii="Arial" w:hAnsi="Arial" w:eastAsia="宋体" w:cs="Arial"/>
          <w:color w:val="auto"/>
          <w:sz w:val="20"/>
          <w:highlight w:val="none"/>
          <w:lang w:val="en-US" w:eastAsia="zh-CN"/>
        </w:rPr>
      </w:pPr>
      <w:r>
        <w:rPr>
          <w:rFonts w:hint="eastAsia" w:ascii="Arial" w:hAnsi="Arial" w:eastAsia="宋体" w:cs="Arial"/>
          <w:bCs w:val="0"/>
          <w:color w:val="auto"/>
          <w:sz w:val="20"/>
          <w:highlight w:val="none"/>
          <w:lang w:val="en-US" w:eastAsia="zh-CN"/>
        </w:rPr>
        <w:t xml:space="preserve">[3] </w:t>
      </w:r>
      <w:r>
        <w:rPr>
          <w:rFonts w:ascii="Arial" w:hAnsi="Arial" w:eastAsia="宋体" w:cs="Arial"/>
          <w:bCs w:val="0"/>
          <w:color w:val="auto"/>
          <w:sz w:val="20"/>
          <w:highlight w:val="none"/>
          <w:lang w:val="en-US" w:eastAsia="zh-CN"/>
        </w:rPr>
        <w:t>R4-2004818</w:t>
      </w:r>
      <w:r>
        <w:rPr>
          <w:rFonts w:hint="default" w:ascii="Arial" w:hAnsi="Arial" w:eastAsia="宋体" w:cs="Arial"/>
          <w:bCs w:val="0"/>
          <w:color w:val="auto"/>
          <w:sz w:val="20"/>
          <w:highlight w:val="none"/>
          <w:lang w:val="en-US" w:eastAsia="zh-CN"/>
        </w:rPr>
        <w:t xml:space="preserve">, </w:t>
      </w:r>
      <w:r>
        <w:rPr>
          <w:rFonts w:ascii="Arial" w:hAnsi="Arial" w:eastAsia="宋体" w:cs="Arial"/>
          <w:color w:val="auto"/>
          <w:sz w:val="20"/>
          <w:highlight w:val="none"/>
          <w:lang w:val="en-US" w:eastAsia="zh-CN"/>
        </w:rPr>
        <w:t>n1 50MHz REFSENS and Band n34 Protection Measurements</w:t>
      </w:r>
      <w:r>
        <w:rPr>
          <w:rFonts w:hint="eastAsia" w:ascii="Arial" w:hAnsi="Arial" w:eastAsia="宋体" w:cs="Arial"/>
          <w:color w:val="auto"/>
          <w:sz w:val="20"/>
          <w:highlight w:val="none"/>
          <w:lang w:val="en-US" w:eastAsia="zh-CN"/>
        </w:rPr>
        <w:t xml:space="preserve">, </w:t>
      </w:r>
      <w:r>
        <w:rPr>
          <w:rFonts w:ascii="Arial" w:hAnsi="Arial" w:eastAsia="宋体" w:cs="Arial"/>
          <w:color w:val="auto"/>
          <w:sz w:val="20"/>
          <w:highlight w:val="none"/>
          <w:lang w:val="en-US" w:eastAsia="zh-CN"/>
        </w:rPr>
        <w:t>Skyworks Solutions, Inc.</w:t>
      </w:r>
    </w:p>
    <w:p>
      <w:pPr>
        <w:keepNext/>
        <w:keepLines/>
        <w:pageBreakBefore w:val="0"/>
        <w:kinsoku/>
        <w:wordWrap/>
        <w:overflowPunct/>
        <w:topLinePunct w:val="0"/>
        <w:autoSpaceDE/>
        <w:autoSpaceDN/>
        <w:bidi w:val="0"/>
        <w:adjustRightInd/>
        <w:snapToGrid/>
        <w:spacing w:after="120"/>
        <w:ind w:left="0" w:firstLine="0"/>
        <w:textAlignment w:val="auto"/>
        <w:rPr>
          <w:rFonts w:hint="default" w:ascii="Arial" w:hAnsi="Arial" w:eastAsia="宋体" w:cs="Arial"/>
          <w:color w:val="auto"/>
          <w:sz w:val="20"/>
          <w:highlight w:val="none"/>
          <w:lang w:val="en-US" w:eastAsia="zh-CN"/>
        </w:rPr>
      </w:pPr>
      <w:r>
        <w:rPr>
          <w:rFonts w:hint="eastAsia" w:ascii="Arial" w:hAnsi="Arial" w:eastAsia="宋体" w:cs="Arial"/>
          <w:color w:val="auto"/>
          <w:sz w:val="20"/>
          <w:highlight w:val="none"/>
          <w:lang w:val="en-US" w:eastAsia="zh-CN"/>
        </w:rPr>
        <w:t>[4] R4-2100543, PC2 FDD RFFE Technology, Performance, Thermal and Power Aspects, Skyworks Solutions, Inc.</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eastAsia="宋体" w:cs="Arial"/>
          <w:b w:val="0"/>
          <w:bCs w:val="0"/>
          <w:color w:val="auto"/>
          <w:sz w:val="18"/>
          <w:szCs w:val="18"/>
          <w:highlight w:val="none"/>
          <w:vertAlign w:val="baseline"/>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E8A0666"/>
    <w:multiLevelType w:val="multilevel"/>
    <w:tmpl w:val="6E8A06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8"/>
  </w:num>
  <w:num w:numId="2">
    <w:abstractNumId w:val="3"/>
  </w:num>
  <w:num w:numId="3">
    <w:abstractNumId w:val="2"/>
  </w:num>
  <w:num w:numId="4">
    <w:abstractNumId w:val="1"/>
  </w:num>
  <w:num w:numId="5">
    <w:abstractNumId w:val="0"/>
  </w:num>
  <w:num w:numId="6">
    <w:abstractNumId w:val="7"/>
  </w:num>
  <w:num w:numId="7">
    <w:abstractNumId w:val="10"/>
  </w:num>
  <w:num w:numId="8">
    <w:abstractNumId w:val="12"/>
  </w:num>
  <w:num w:numId="9">
    <w:abstractNumId w:val="5"/>
  </w:num>
  <w:num w:numId="10">
    <w:abstractNumId w:val="6"/>
  </w:num>
  <w:num w:numId="11">
    <w:abstractNumId w:val="4"/>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D4F3F"/>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6E4457"/>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DB0B28"/>
    <w:rsid w:val="02DB5B0F"/>
    <w:rsid w:val="02E02377"/>
    <w:rsid w:val="02E6622A"/>
    <w:rsid w:val="02EE6309"/>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1FE7"/>
    <w:rsid w:val="032D3872"/>
    <w:rsid w:val="03337AA5"/>
    <w:rsid w:val="033F4641"/>
    <w:rsid w:val="033F720D"/>
    <w:rsid w:val="034172CD"/>
    <w:rsid w:val="03447417"/>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CE2B9C"/>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08D2"/>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6A7675"/>
    <w:rsid w:val="04740CAB"/>
    <w:rsid w:val="047C7418"/>
    <w:rsid w:val="047F211F"/>
    <w:rsid w:val="04921B49"/>
    <w:rsid w:val="049377A7"/>
    <w:rsid w:val="04970C3A"/>
    <w:rsid w:val="04A63DE5"/>
    <w:rsid w:val="04AD5427"/>
    <w:rsid w:val="04B31C9E"/>
    <w:rsid w:val="04B773EC"/>
    <w:rsid w:val="04CE5DAA"/>
    <w:rsid w:val="04D06A94"/>
    <w:rsid w:val="04D822DA"/>
    <w:rsid w:val="04DD55E3"/>
    <w:rsid w:val="04E251E1"/>
    <w:rsid w:val="04E5192B"/>
    <w:rsid w:val="04E55A04"/>
    <w:rsid w:val="04E951BC"/>
    <w:rsid w:val="04F83880"/>
    <w:rsid w:val="04FB32C2"/>
    <w:rsid w:val="0507209B"/>
    <w:rsid w:val="050B6335"/>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74C58"/>
    <w:rsid w:val="059E20A2"/>
    <w:rsid w:val="05A61B3E"/>
    <w:rsid w:val="05A77370"/>
    <w:rsid w:val="05B944F9"/>
    <w:rsid w:val="05CE76FB"/>
    <w:rsid w:val="05D503B8"/>
    <w:rsid w:val="05D5527A"/>
    <w:rsid w:val="05D679BE"/>
    <w:rsid w:val="05D93F31"/>
    <w:rsid w:val="05D96B45"/>
    <w:rsid w:val="05DD5E93"/>
    <w:rsid w:val="05DE43E0"/>
    <w:rsid w:val="05DF563A"/>
    <w:rsid w:val="05E11CE0"/>
    <w:rsid w:val="05E72ED3"/>
    <w:rsid w:val="05EA6FC1"/>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47CAD"/>
    <w:rsid w:val="069561E9"/>
    <w:rsid w:val="069A1A61"/>
    <w:rsid w:val="069B6E98"/>
    <w:rsid w:val="069C44CD"/>
    <w:rsid w:val="06AB1DFD"/>
    <w:rsid w:val="06AB26A7"/>
    <w:rsid w:val="06B74133"/>
    <w:rsid w:val="06B8340B"/>
    <w:rsid w:val="06C31A1F"/>
    <w:rsid w:val="06C453F9"/>
    <w:rsid w:val="06C62533"/>
    <w:rsid w:val="06C82DD0"/>
    <w:rsid w:val="06CB06AF"/>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3DA3"/>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F1597"/>
    <w:rsid w:val="09441620"/>
    <w:rsid w:val="09441EEA"/>
    <w:rsid w:val="09556E1F"/>
    <w:rsid w:val="09595A8E"/>
    <w:rsid w:val="095A3ACC"/>
    <w:rsid w:val="095C31CB"/>
    <w:rsid w:val="09635095"/>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41848"/>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774A5"/>
    <w:rsid w:val="0A983095"/>
    <w:rsid w:val="0A9B1CF2"/>
    <w:rsid w:val="0AA27AC1"/>
    <w:rsid w:val="0AA36735"/>
    <w:rsid w:val="0AA738E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7243D"/>
    <w:rsid w:val="0AD73ACA"/>
    <w:rsid w:val="0AD829A8"/>
    <w:rsid w:val="0ADC5D23"/>
    <w:rsid w:val="0AE23DA6"/>
    <w:rsid w:val="0AEA7232"/>
    <w:rsid w:val="0AF44695"/>
    <w:rsid w:val="0AFB3F21"/>
    <w:rsid w:val="0AFF04EF"/>
    <w:rsid w:val="0AFF28BB"/>
    <w:rsid w:val="0AFF418F"/>
    <w:rsid w:val="0B070072"/>
    <w:rsid w:val="0B080C34"/>
    <w:rsid w:val="0B096705"/>
    <w:rsid w:val="0B110BE9"/>
    <w:rsid w:val="0B123012"/>
    <w:rsid w:val="0B1C4BBB"/>
    <w:rsid w:val="0B1F01C1"/>
    <w:rsid w:val="0B2110B3"/>
    <w:rsid w:val="0B300128"/>
    <w:rsid w:val="0B3171CB"/>
    <w:rsid w:val="0B3276E8"/>
    <w:rsid w:val="0B354623"/>
    <w:rsid w:val="0B5355EB"/>
    <w:rsid w:val="0B581A82"/>
    <w:rsid w:val="0B62077D"/>
    <w:rsid w:val="0B633BD1"/>
    <w:rsid w:val="0B67076C"/>
    <w:rsid w:val="0B674BD0"/>
    <w:rsid w:val="0B6A4660"/>
    <w:rsid w:val="0B6B2BC3"/>
    <w:rsid w:val="0B6C09A7"/>
    <w:rsid w:val="0B785FA4"/>
    <w:rsid w:val="0B7A4BB0"/>
    <w:rsid w:val="0B7E5B00"/>
    <w:rsid w:val="0B8650E8"/>
    <w:rsid w:val="0B871FAA"/>
    <w:rsid w:val="0B940F71"/>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D72B2"/>
    <w:rsid w:val="0BD254C0"/>
    <w:rsid w:val="0BD43488"/>
    <w:rsid w:val="0BDD1E37"/>
    <w:rsid w:val="0BE1620F"/>
    <w:rsid w:val="0BE376C6"/>
    <w:rsid w:val="0BE7693E"/>
    <w:rsid w:val="0BEB39E4"/>
    <w:rsid w:val="0BF00B65"/>
    <w:rsid w:val="0BF33C47"/>
    <w:rsid w:val="0C0E4E46"/>
    <w:rsid w:val="0C131F97"/>
    <w:rsid w:val="0C1A2934"/>
    <w:rsid w:val="0C20567B"/>
    <w:rsid w:val="0C392883"/>
    <w:rsid w:val="0C405D6F"/>
    <w:rsid w:val="0C426D50"/>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8695D"/>
    <w:rsid w:val="0C7F5547"/>
    <w:rsid w:val="0C8007C4"/>
    <w:rsid w:val="0C88242D"/>
    <w:rsid w:val="0C890FD6"/>
    <w:rsid w:val="0C916726"/>
    <w:rsid w:val="0C943D4F"/>
    <w:rsid w:val="0C95588B"/>
    <w:rsid w:val="0C9660F9"/>
    <w:rsid w:val="0C985710"/>
    <w:rsid w:val="0C991EF7"/>
    <w:rsid w:val="0C9B2D68"/>
    <w:rsid w:val="0CA4698B"/>
    <w:rsid w:val="0CA82CB9"/>
    <w:rsid w:val="0CAB29E1"/>
    <w:rsid w:val="0CAC5333"/>
    <w:rsid w:val="0CB074BC"/>
    <w:rsid w:val="0CB607E1"/>
    <w:rsid w:val="0CB76AF5"/>
    <w:rsid w:val="0CBA35F2"/>
    <w:rsid w:val="0CBD71E9"/>
    <w:rsid w:val="0CC15B44"/>
    <w:rsid w:val="0CC3200E"/>
    <w:rsid w:val="0CCC32E0"/>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27776"/>
    <w:rsid w:val="0D6F3417"/>
    <w:rsid w:val="0D6F75FD"/>
    <w:rsid w:val="0D701250"/>
    <w:rsid w:val="0D7344C8"/>
    <w:rsid w:val="0D747D20"/>
    <w:rsid w:val="0D763116"/>
    <w:rsid w:val="0D771FEA"/>
    <w:rsid w:val="0D7E2690"/>
    <w:rsid w:val="0D830CBD"/>
    <w:rsid w:val="0D8A6961"/>
    <w:rsid w:val="0D8B1980"/>
    <w:rsid w:val="0D8B481D"/>
    <w:rsid w:val="0D9C6CA1"/>
    <w:rsid w:val="0D9D493D"/>
    <w:rsid w:val="0DA25C8E"/>
    <w:rsid w:val="0DAD1AC0"/>
    <w:rsid w:val="0DAF3CAF"/>
    <w:rsid w:val="0DB32AB2"/>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2D13EB"/>
    <w:rsid w:val="0F3A2446"/>
    <w:rsid w:val="0F3A4528"/>
    <w:rsid w:val="0F3F5105"/>
    <w:rsid w:val="0F475E79"/>
    <w:rsid w:val="0F492AD4"/>
    <w:rsid w:val="0F4B7E1A"/>
    <w:rsid w:val="0F4C4091"/>
    <w:rsid w:val="0F4D6457"/>
    <w:rsid w:val="0F4E0D22"/>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0549F"/>
    <w:rsid w:val="10145E18"/>
    <w:rsid w:val="10175238"/>
    <w:rsid w:val="10197CA4"/>
    <w:rsid w:val="101B0376"/>
    <w:rsid w:val="101D319A"/>
    <w:rsid w:val="101E6D08"/>
    <w:rsid w:val="1023368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7017A"/>
    <w:rsid w:val="112103C5"/>
    <w:rsid w:val="11223E45"/>
    <w:rsid w:val="1125568E"/>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7E239B"/>
    <w:rsid w:val="118372EE"/>
    <w:rsid w:val="11864C3B"/>
    <w:rsid w:val="118E089C"/>
    <w:rsid w:val="119120CB"/>
    <w:rsid w:val="119305C0"/>
    <w:rsid w:val="11943F1E"/>
    <w:rsid w:val="1197723B"/>
    <w:rsid w:val="119F2B47"/>
    <w:rsid w:val="119F77C4"/>
    <w:rsid w:val="11A67383"/>
    <w:rsid w:val="11AE0418"/>
    <w:rsid w:val="11B05A60"/>
    <w:rsid w:val="11BC1733"/>
    <w:rsid w:val="11BC664B"/>
    <w:rsid w:val="11BF56EF"/>
    <w:rsid w:val="11C846B5"/>
    <w:rsid w:val="11C909CA"/>
    <w:rsid w:val="11C936A2"/>
    <w:rsid w:val="11D93CCB"/>
    <w:rsid w:val="11E75B85"/>
    <w:rsid w:val="11EB14B4"/>
    <w:rsid w:val="11F31D4A"/>
    <w:rsid w:val="11FA3ACF"/>
    <w:rsid w:val="11FA5124"/>
    <w:rsid w:val="11FE7FA9"/>
    <w:rsid w:val="12015323"/>
    <w:rsid w:val="12025423"/>
    <w:rsid w:val="1206121A"/>
    <w:rsid w:val="1209251A"/>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A57B3"/>
    <w:rsid w:val="126B3428"/>
    <w:rsid w:val="127B706D"/>
    <w:rsid w:val="127C1D27"/>
    <w:rsid w:val="127D11AD"/>
    <w:rsid w:val="12822706"/>
    <w:rsid w:val="12835AED"/>
    <w:rsid w:val="128A0F8D"/>
    <w:rsid w:val="128E3209"/>
    <w:rsid w:val="12A53CFF"/>
    <w:rsid w:val="12A9605F"/>
    <w:rsid w:val="12AF442E"/>
    <w:rsid w:val="12B21F52"/>
    <w:rsid w:val="12B32A37"/>
    <w:rsid w:val="12B931BE"/>
    <w:rsid w:val="12C20883"/>
    <w:rsid w:val="12C20B9F"/>
    <w:rsid w:val="12CB538A"/>
    <w:rsid w:val="12CD1DC9"/>
    <w:rsid w:val="12D43973"/>
    <w:rsid w:val="12D62B58"/>
    <w:rsid w:val="12E27109"/>
    <w:rsid w:val="12E77AD7"/>
    <w:rsid w:val="12E94E33"/>
    <w:rsid w:val="12EA0359"/>
    <w:rsid w:val="12F03E48"/>
    <w:rsid w:val="12F77784"/>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8164BF"/>
    <w:rsid w:val="13873F07"/>
    <w:rsid w:val="138C236B"/>
    <w:rsid w:val="13905FA2"/>
    <w:rsid w:val="139C4E65"/>
    <w:rsid w:val="139E263E"/>
    <w:rsid w:val="13A3399C"/>
    <w:rsid w:val="13AC5BEA"/>
    <w:rsid w:val="13B03731"/>
    <w:rsid w:val="13B2406D"/>
    <w:rsid w:val="13BC433D"/>
    <w:rsid w:val="13C80714"/>
    <w:rsid w:val="13CC3DEC"/>
    <w:rsid w:val="13CE4DFF"/>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56052"/>
    <w:rsid w:val="14A862B6"/>
    <w:rsid w:val="14A87888"/>
    <w:rsid w:val="14AA6172"/>
    <w:rsid w:val="14AC283B"/>
    <w:rsid w:val="14B071EA"/>
    <w:rsid w:val="14B67779"/>
    <w:rsid w:val="14BD5CC4"/>
    <w:rsid w:val="14C42409"/>
    <w:rsid w:val="14C510C3"/>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822789"/>
    <w:rsid w:val="1587473D"/>
    <w:rsid w:val="158B3505"/>
    <w:rsid w:val="159668BE"/>
    <w:rsid w:val="159C7418"/>
    <w:rsid w:val="15A075BE"/>
    <w:rsid w:val="15A50240"/>
    <w:rsid w:val="15A730AB"/>
    <w:rsid w:val="15AA3264"/>
    <w:rsid w:val="15B0182F"/>
    <w:rsid w:val="15B10F22"/>
    <w:rsid w:val="15B27CF5"/>
    <w:rsid w:val="15B3688A"/>
    <w:rsid w:val="15BD3CA1"/>
    <w:rsid w:val="15BE5020"/>
    <w:rsid w:val="15C3766C"/>
    <w:rsid w:val="15C44867"/>
    <w:rsid w:val="15C47F25"/>
    <w:rsid w:val="15D46B42"/>
    <w:rsid w:val="15D916B7"/>
    <w:rsid w:val="15E2342D"/>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342D2"/>
    <w:rsid w:val="16414828"/>
    <w:rsid w:val="164456D7"/>
    <w:rsid w:val="164E13D0"/>
    <w:rsid w:val="16502B8D"/>
    <w:rsid w:val="165465C7"/>
    <w:rsid w:val="165524AC"/>
    <w:rsid w:val="16553CFC"/>
    <w:rsid w:val="16622576"/>
    <w:rsid w:val="166E2E44"/>
    <w:rsid w:val="167652D1"/>
    <w:rsid w:val="167B3F35"/>
    <w:rsid w:val="167B4CFE"/>
    <w:rsid w:val="167E20BD"/>
    <w:rsid w:val="16800D47"/>
    <w:rsid w:val="16880662"/>
    <w:rsid w:val="168A3335"/>
    <w:rsid w:val="16907274"/>
    <w:rsid w:val="16A6051D"/>
    <w:rsid w:val="16A77043"/>
    <w:rsid w:val="16B1062A"/>
    <w:rsid w:val="16B90F31"/>
    <w:rsid w:val="16C21340"/>
    <w:rsid w:val="16C47616"/>
    <w:rsid w:val="16C740C5"/>
    <w:rsid w:val="16C80034"/>
    <w:rsid w:val="16C92A63"/>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11DB7"/>
    <w:rsid w:val="17923711"/>
    <w:rsid w:val="17987229"/>
    <w:rsid w:val="179A0708"/>
    <w:rsid w:val="179E28E1"/>
    <w:rsid w:val="17A022DB"/>
    <w:rsid w:val="17A2064E"/>
    <w:rsid w:val="17A340AB"/>
    <w:rsid w:val="17A34285"/>
    <w:rsid w:val="17A500B9"/>
    <w:rsid w:val="17A92D85"/>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1523A1"/>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F23AB"/>
    <w:rsid w:val="18893D17"/>
    <w:rsid w:val="188D7FF5"/>
    <w:rsid w:val="18966DD6"/>
    <w:rsid w:val="18983058"/>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D757FC"/>
    <w:rsid w:val="19E01C52"/>
    <w:rsid w:val="19E12E88"/>
    <w:rsid w:val="19E92B6A"/>
    <w:rsid w:val="19EC12FB"/>
    <w:rsid w:val="19EC30C6"/>
    <w:rsid w:val="19EC43D7"/>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7042"/>
    <w:rsid w:val="1A4371CF"/>
    <w:rsid w:val="1A4609B6"/>
    <w:rsid w:val="1A473086"/>
    <w:rsid w:val="1A495343"/>
    <w:rsid w:val="1A4E21B5"/>
    <w:rsid w:val="1A55446B"/>
    <w:rsid w:val="1A5F40C6"/>
    <w:rsid w:val="1A617B0F"/>
    <w:rsid w:val="1A6662BF"/>
    <w:rsid w:val="1A6F11DE"/>
    <w:rsid w:val="1A722CFE"/>
    <w:rsid w:val="1A7322DE"/>
    <w:rsid w:val="1A7456CB"/>
    <w:rsid w:val="1A76777A"/>
    <w:rsid w:val="1A77671E"/>
    <w:rsid w:val="1A7E236B"/>
    <w:rsid w:val="1A81320C"/>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2429"/>
    <w:rsid w:val="1AEC66D4"/>
    <w:rsid w:val="1AF07FA6"/>
    <w:rsid w:val="1AF237E4"/>
    <w:rsid w:val="1AF70471"/>
    <w:rsid w:val="1AFA1697"/>
    <w:rsid w:val="1AFA4657"/>
    <w:rsid w:val="1B054DA0"/>
    <w:rsid w:val="1B097051"/>
    <w:rsid w:val="1B0A221B"/>
    <w:rsid w:val="1B0A4D9C"/>
    <w:rsid w:val="1B0E7781"/>
    <w:rsid w:val="1B130214"/>
    <w:rsid w:val="1B13125B"/>
    <w:rsid w:val="1B135DAF"/>
    <w:rsid w:val="1B142AA1"/>
    <w:rsid w:val="1B1D63CE"/>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31195"/>
    <w:rsid w:val="1B66533F"/>
    <w:rsid w:val="1B6B3087"/>
    <w:rsid w:val="1B6B3295"/>
    <w:rsid w:val="1B740741"/>
    <w:rsid w:val="1B794FC4"/>
    <w:rsid w:val="1B87058E"/>
    <w:rsid w:val="1B8B2C18"/>
    <w:rsid w:val="1B935851"/>
    <w:rsid w:val="1B9950DF"/>
    <w:rsid w:val="1B99570C"/>
    <w:rsid w:val="1BA13621"/>
    <w:rsid w:val="1BA21D9D"/>
    <w:rsid w:val="1BA35D23"/>
    <w:rsid w:val="1BA6527C"/>
    <w:rsid w:val="1BAC16E5"/>
    <w:rsid w:val="1BAF67E8"/>
    <w:rsid w:val="1BB40F2B"/>
    <w:rsid w:val="1BB5784D"/>
    <w:rsid w:val="1BBE3FFF"/>
    <w:rsid w:val="1BC153A7"/>
    <w:rsid w:val="1BC57256"/>
    <w:rsid w:val="1BCF2B9F"/>
    <w:rsid w:val="1BD40808"/>
    <w:rsid w:val="1BD657AE"/>
    <w:rsid w:val="1BD803EF"/>
    <w:rsid w:val="1BD92CCC"/>
    <w:rsid w:val="1BD977E2"/>
    <w:rsid w:val="1BDC1FDD"/>
    <w:rsid w:val="1BE00A01"/>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86C59"/>
    <w:rsid w:val="1C69538F"/>
    <w:rsid w:val="1C704DD8"/>
    <w:rsid w:val="1C727B26"/>
    <w:rsid w:val="1C784DDC"/>
    <w:rsid w:val="1C8B6F58"/>
    <w:rsid w:val="1C8E320F"/>
    <w:rsid w:val="1C92272E"/>
    <w:rsid w:val="1C943CF8"/>
    <w:rsid w:val="1C984AFA"/>
    <w:rsid w:val="1C9B225B"/>
    <w:rsid w:val="1C9F295C"/>
    <w:rsid w:val="1CA314EC"/>
    <w:rsid w:val="1CA3670A"/>
    <w:rsid w:val="1CA37E66"/>
    <w:rsid w:val="1CA56D52"/>
    <w:rsid w:val="1CA56DA8"/>
    <w:rsid w:val="1CAB41A6"/>
    <w:rsid w:val="1CAF6C6F"/>
    <w:rsid w:val="1CB442D2"/>
    <w:rsid w:val="1CBF61DA"/>
    <w:rsid w:val="1CC47480"/>
    <w:rsid w:val="1CC628BB"/>
    <w:rsid w:val="1CCB42A9"/>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E5848"/>
    <w:rsid w:val="1D3F04B1"/>
    <w:rsid w:val="1D4511CA"/>
    <w:rsid w:val="1D472010"/>
    <w:rsid w:val="1D4804FB"/>
    <w:rsid w:val="1D537970"/>
    <w:rsid w:val="1D560A9B"/>
    <w:rsid w:val="1D5B0EB0"/>
    <w:rsid w:val="1D5D4A37"/>
    <w:rsid w:val="1D6357B5"/>
    <w:rsid w:val="1D63616E"/>
    <w:rsid w:val="1D6A6CD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4636A4"/>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0D1B"/>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AE3795"/>
    <w:rsid w:val="1FAF489E"/>
    <w:rsid w:val="1FB15F08"/>
    <w:rsid w:val="1FBB3739"/>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9211A"/>
    <w:rsid w:val="204A2F6A"/>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9C1DD3"/>
    <w:rsid w:val="20A0289C"/>
    <w:rsid w:val="20B144B3"/>
    <w:rsid w:val="20B44655"/>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B6618"/>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74406"/>
    <w:rsid w:val="223C191A"/>
    <w:rsid w:val="223F5B17"/>
    <w:rsid w:val="22426E3C"/>
    <w:rsid w:val="22446B35"/>
    <w:rsid w:val="22470F04"/>
    <w:rsid w:val="224E7D56"/>
    <w:rsid w:val="2252733D"/>
    <w:rsid w:val="22537071"/>
    <w:rsid w:val="22552E4A"/>
    <w:rsid w:val="22565515"/>
    <w:rsid w:val="22571E6F"/>
    <w:rsid w:val="225900FF"/>
    <w:rsid w:val="225E03EC"/>
    <w:rsid w:val="225E4056"/>
    <w:rsid w:val="22602055"/>
    <w:rsid w:val="226436BF"/>
    <w:rsid w:val="226758E5"/>
    <w:rsid w:val="22692416"/>
    <w:rsid w:val="226944DF"/>
    <w:rsid w:val="227631B0"/>
    <w:rsid w:val="22790C8F"/>
    <w:rsid w:val="227E691F"/>
    <w:rsid w:val="227F29B7"/>
    <w:rsid w:val="229150BB"/>
    <w:rsid w:val="2294048A"/>
    <w:rsid w:val="229A472F"/>
    <w:rsid w:val="22A76E5F"/>
    <w:rsid w:val="22AE201B"/>
    <w:rsid w:val="22AF27D5"/>
    <w:rsid w:val="22B16E50"/>
    <w:rsid w:val="22B414AA"/>
    <w:rsid w:val="22B41D89"/>
    <w:rsid w:val="22B60E4E"/>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271D5"/>
    <w:rsid w:val="23A734EB"/>
    <w:rsid w:val="23AA6310"/>
    <w:rsid w:val="23B42C06"/>
    <w:rsid w:val="23BB42FD"/>
    <w:rsid w:val="23BC4C29"/>
    <w:rsid w:val="23BE7554"/>
    <w:rsid w:val="23BF3B30"/>
    <w:rsid w:val="23BF4266"/>
    <w:rsid w:val="23C46227"/>
    <w:rsid w:val="23C75BAF"/>
    <w:rsid w:val="23CA3C3E"/>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2F40B4"/>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1003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A55AC8"/>
    <w:rsid w:val="25AC5370"/>
    <w:rsid w:val="25AC7500"/>
    <w:rsid w:val="25B12E79"/>
    <w:rsid w:val="25B64199"/>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26767"/>
    <w:rsid w:val="261A14B6"/>
    <w:rsid w:val="261D31A9"/>
    <w:rsid w:val="26246E3B"/>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548AB"/>
    <w:rsid w:val="26880397"/>
    <w:rsid w:val="26881393"/>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27107"/>
    <w:rsid w:val="27662EEA"/>
    <w:rsid w:val="27670DEF"/>
    <w:rsid w:val="277342FE"/>
    <w:rsid w:val="2773577D"/>
    <w:rsid w:val="27777E23"/>
    <w:rsid w:val="277B02C6"/>
    <w:rsid w:val="27821D9C"/>
    <w:rsid w:val="27860B41"/>
    <w:rsid w:val="278A7676"/>
    <w:rsid w:val="278E0A47"/>
    <w:rsid w:val="278E2D37"/>
    <w:rsid w:val="279121D8"/>
    <w:rsid w:val="2794232D"/>
    <w:rsid w:val="27A60643"/>
    <w:rsid w:val="27A72D26"/>
    <w:rsid w:val="27A9577A"/>
    <w:rsid w:val="27B40B8B"/>
    <w:rsid w:val="27BB7D18"/>
    <w:rsid w:val="27BF2614"/>
    <w:rsid w:val="27C91DCF"/>
    <w:rsid w:val="27DA480B"/>
    <w:rsid w:val="27E320C6"/>
    <w:rsid w:val="27E61965"/>
    <w:rsid w:val="27EE2436"/>
    <w:rsid w:val="27EE3EA1"/>
    <w:rsid w:val="27FC5EA0"/>
    <w:rsid w:val="27FE7297"/>
    <w:rsid w:val="28030F02"/>
    <w:rsid w:val="280665FC"/>
    <w:rsid w:val="2809779E"/>
    <w:rsid w:val="280A63DC"/>
    <w:rsid w:val="280D08C6"/>
    <w:rsid w:val="281031F7"/>
    <w:rsid w:val="28106855"/>
    <w:rsid w:val="28174A4A"/>
    <w:rsid w:val="28191351"/>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F0A90"/>
    <w:rsid w:val="28811B3C"/>
    <w:rsid w:val="288544BD"/>
    <w:rsid w:val="2886532E"/>
    <w:rsid w:val="288F478B"/>
    <w:rsid w:val="28900F54"/>
    <w:rsid w:val="289105F9"/>
    <w:rsid w:val="28962513"/>
    <w:rsid w:val="28966ED1"/>
    <w:rsid w:val="289F7243"/>
    <w:rsid w:val="28A475CD"/>
    <w:rsid w:val="28A51B02"/>
    <w:rsid w:val="28B4017A"/>
    <w:rsid w:val="28B51E6D"/>
    <w:rsid w:val="28BD05DE"/>
    <w:rsid w:val="28BE5920"/>
    <w:rsid w:val="28C15B72"/>
    <w:rsid w:val="28C4585C"/>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52A36"/>
    <w:rsid w:val="291B447E"/>
    <w:rsid w:val="29223848"/>
    <w:rsid w:val="29244DC0"/>
    <w:rsid w:val="2924662A"/>
    <w:rsid w:val="29274AB5"/>
    <w:rsid w:val="29291E56"/>
    <w:rsid w:val="292C29EC"/>
    <w:rsid w:val="29304A2C"/>
    <w:rsid w:val="293748E7"/>
    <w:rsid w:val="29487161"/>
    <w:rsid w:val="294966A8"/>
    <w:rsid w:val="294C7571"/>
    <w:rsid w:val="294E1304"/>
    <w:rsid w:val="294E505B"/>
    <w:rsid w:val="29522EF8"/>
    <w:rsid w:val="29532B1A"/>
    <w:rsid w:val="29566262"/>
    <w:rsid w:val="29566743"/>
    <w:rsid w:val="295709E8"/>
    <w:rsid w:val="2958159E"/>
    <w:rsid w:val="296367A1"/>
    <w:rsid w:val="29673530"/>
    <w:rsid w:val="296D549E"/>
    <w:rsid w:val="296F7076"/>
    <w:rsid w:val="29715025"/>
    <w:rsid w:val="297D4711"/>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7BBD"/>
    <w:rsid w:val="2A665ACE"/>
    <w:rsid w:val="2A6B5893"/>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52C53"/>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95873"/>
    <w:rsid w:val="2B8E4C11"/>
    <w:rsid w:val="2B9967D6"/>
    <w:rsid w:val="2B9C7241"/>
    <w:rsid w:val="2BA01AB2"/>
    <w:rsid w:val="2BA1091C"/>
    <w:rsid w:val="2BA326B6"/>
    <w:rsid w:val="2BA4061C"/>
    <w:rsid w:val="2BA519F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95A18"/>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7F6A52"/>
    <w:rsid w:val="2C8973E5"/>
    <w:rsid w:val="2C8A6F0B"/>
    <w:rsid w:val="2C8D3EE0"/>
    <w:rsid w:val="2C8E6559"/>
    <w:rsid w:val="2C932127"/>
    <w:rsid w:val="2C932E0E"/>
    <w:rsid w:val="2C9C58AB"/>
    <w:rsid w:val="2CA7026F"/>
    <w:rsid w:val="2CA95753"/>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33AE9"/>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40350"/>
    <w:rsid w:val="2DFD25D1"/>
    <w:rsid w:val="2DFD42E1"/>
    <w:rsid w:val="2DFE3435"/>
    <w:rsid w:val="2E06618B"/>
    <w:rsid w:val="2E1931E7"/>
    <w:rsid w:val="2E1F4650"/>
    <w:rsid w:val="2E281711"/>
    <w:rsid w:val="2E3656F1"/>
    <w:rsid w:val="2E421513"/>
    <w:rsid w:val="2E4222B5"/>
    <w:rsid w:val="2E44329B"/>
    <w:rsid w:val="2E495B3D"/>
    <w:rsid w:val="2E540FD3"/>
    <w:rsid w:val="2E5962C8"/>
    <w:rsid w:val="2E596301"/>
    <w:rsid w:val="2E596FC7"/>
    <w:rsid w:val="2E5A68F4"/>
    <w:rsid w:val="2E5D1B8D"/>
    <w:rsid w:val="2E5F40D2"/>
    <w:rsid w:val="2E603C24"/>
    <w:rsid w:val="2E625789"/>
    <w:rsid w:val="2E63294B"/>
    <w:rsid w:val="2E674A9C"/>
    <w:rsid w:val="2E6B30C9"/>
    <w:rsid w:val="2E6B37B5"/>
    <w:rsid w:val="2E731D91"/>
    <w:rsid w:val="2E741685"/>
    <w:rsid w:val="2E825277"/>
    <w:rsid w:val="2E8A073B"/>
    <w:rsid w:val="2E8C1999"/>
    <w:rsid w:val="2E8D13AF"/>
    <w:rsid w:val="2E904A8A"/>
    <w:rsid w:val="2E997981"/>
    <w:rsid w:val="2EA12F6D"/>
    <w:rsid w:val="2EA82CB8"/>
    <w:rsid w:val="2EA91956"/>
    <w:rsid w:val="2EAC4449"/>
    <w:rsid w:val="2EB177AD"/>
    <w:rsid w:val="2EB8258B"/>
    <w:rsid w:val="2EBA7E66"/>
    <w:rsid w:val="2EBF694E"/>
    <w:rsid w:val="2EC90753"/>
    <w:rsid w:val="2EC9758F"/>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C76A8F"/>
    <w:rsid w:val="2FCA3E23"/>
    <w:rsid w:val="2FD10451"/>
    <w:rsid w:val="2FD163D8"/>
    <w:rsid w:val="2FD860F5"/>
    <w:rsid w:val="2FD87E23"/>
    <w:rsid w:val="2FDF2921"/>
    <w:rsid w:val="2FE46613"/>
    <w:rsid w:val="2FE642B3"/>
    <w:rsid w:val="2FEB2174"/>
    <w:rsid w:val="300663FF"/>
    <w:rsid w:val="30086A93"/>
    <w:rsid w:val="300D55ED"/>
    <w:rsid w:val="300D7B1B"/>
    <w:rsid w:val="300F21EC"/>
    <w:rsid w:val="300F767A"/>
    <w:rsid w:val="30142ED0"/>
    <w:rsid w:val="30171969"/>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5B2"/>
    <w:rsid w:val="30905A18"/>
    <w:rsid w:val="30A55D26"/>
    <w:rsid w:val="30A852D9"/>
    <w:rsid w:val="30A93DA0"/>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F34F5"/>
    <w:rsid w:val="31625BD9"/>
    <w:rsid w:val="3165203B"/>
    <w:rsid w:val="31731696"/>
    <w:rsid w:val="317675CF"/>
    <w:rsid w:val="317A5F6E"/>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60B9"/>
    <w:rsid w:val="323C68FB"/>
    <w:rsid w:val="32601098"/>
    <w:rsid w:val="32745E8A"/>
    <w:rsid w:val="3275231B"/>
    <w:rsid w:val="32762D3B"/>
    <w:rsid w:val="32790C2E"/>
    <w:rsid w:val="327C74DE"/>
    <w:rsid w:val="327F6D26"/>
    <w:rsid w:val="327F7F4C"/>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D2E"/>
    <w:rsid w:val="32EB6D36"/>
    <w:rsid w:val="32F92807"/>
    <w:rsid w:val="330026E6"/>
    <w:rsid w:val="330438C3"/>
    <w:rsid w:val="330745A8"/>
    <w:rsid w:val="330825B3"/>
    <w:rsid w:val="33092F71"/>
    <w:rsid w:val="330E2CB4"/>
    <w:rsid w:val="330F6431"/>
    <w:rsid w:val="33117561"/>
    <w:rsid w:val="33172822"/>
    <w:rsid w:val="331A3BCD"/>
    <w:rsid w:val="33215EA1"/>
    <w:rsid w:val="33227045"/>
    <w:rsid w:val="33262E12"/>
    <w:rsid w:val="33271667"/>
    <w:rsid w:val="33272AFD"/>
    <w:rsid w:val="33277E34"/>
    <w:rsid w:val="332D3BF3"/>
    <w:rsid w:val="333221B2"/>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63892"/>
    <w:rsid w:val="33DA3C12"/>
    <w:rsid w:val="33DC6CEA"/>
    <w:rsid w:val="33E1651E"/>
    <w:rsid w:val="33E9005B"/>
    <w:rsid w:val="33EF30DA"/>
    <w:rsid w:val="33F20328"/>
    <w:rsid w:val="33F616DA"/>
    <w:rsid w:val="33F72193"/>
    <w:rsid w:val="34056C0E"/>
    <w:rsid w:val="34067D9F"/>
    <w:rsid w:val="3409334A"/>
    <w:rsid w:val="340C67EE"/>
    <w:rsid w:val="341157FA"/>
    <w:rsid w:val="341260F2"/>
    <w:rsid w:val="341544AE"/>
    <w:rsid w:val="3416587E"/>
    <w:rsid w:val="341A0662"/>
    <w:rsid w:val="341E3E6B"/>
    <w:rsid w:val="34206DD0"/>
    <w:rsid w:val="34236595"/>
    <w:rsid w:val="342848DD"/>
    <w:rsid w:val="342B013D"/>
    <w:rsid w:val="342C7CD4"/>
    <w:rsid w:val="34365D0F"/>
    <w:rsid w:val="343E3F00"/>
    <w:rsid w:val="34421727"/>
    <w:rsid w:val="34445B43"/>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4204"/>
    <w:rsid w:val="35117CA3"/>
    <w:rsid w:val="351446B3"/>
    <w:rsid w:val="35194741"/>
    <w:rsid w:val="351D4ECB"/>
    <w:rsid w:val="352A3AE7"/>
    <w:rsid w:val="352A6E5A"/>
    <w:rsid w:val="353314EE"/>
    <w:rsid w:val="35352995"/>
    <w:rsid w:val="353778D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F3862"/>
    <w:rsid w:val="35F64CDE"/>
    <w:rsid w:val="35F777CB"/>
    <w:rsid w:val="36057172"/>
    <w:rsid w:val="36062003"/>
    <w:rsid w:val="36075703"/>
    <w:rsid w:val="361D4745"/>
    <w:rsid w:val="361E4A68"/>
    <w:rsid w:val="361E4BCF"/>
    <w:rsid w:val="361F359F"/>
    <w:rsid w:val="362029EC"/>
    <w:rsid w:val="362C44AF"/>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B487D"/>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73BE1"/>
    <w:rsid w:val="36D228CC"/>
    <w:rsid w:val="36D32134"/>
    <w:rsid w:val="36D6408C"/>
    <w:rsid w:val="36D76DB6"/>
    <w:rsid w:val="36D774C8"/>
    <w:rsid w:val="36DA7100"/>
    <w:rsid w:val="36DB0B2D"/>
    <w:rsid w:val="36E35AD2"/>
    <w:rsid w:val="36F2275F"/>
    <w:rsid w:val="36F62B81"/>
    <w:rsid w:val="36F62C74"/>
    <w:rsid w:val="36FB257D"/>
    <w:rsid w:val="3705353A"/>
    <w:rsid w:val="370778E1"/>
    <w:rsid w:val="370A62C5"/>
    <w:rsid w:val="37110637"/>
    <w:rsid w:val="37126926"/>
    <w:rsid w:val="37142C90"/>
    <w:rsid w:val="3716759A"/>
    <w:rsid w:val="37186085"/>
    <w:rsid w:val="37207A5E"/>
    <w:rsid w:val="37277F10"/>
    <w:rsid w:val="372D4141"/>
    <w:rsid w:val="372D5E85"/>
    <w:rsid w:val="37316255"/>
    <w:rsid w:val="37374AB3"/>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D5303"/>
    <w:rsid w:val="37825324"/>
    <w:rsid w:val="378B0327"/>
    <w:rsid w:val="378E0749"/>
    <w:rsid w:val="37954891"/>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803718F"/>
    <w:rsid w:val="38091FFF"/>
    <w:rsid w:val="3809520B"/>
    <w:rsid w:val="380F6701"/>
    <w:rsid w:val="38124A9D"/>
    <w:rsid w:val="38204A20"/>
    <w:rsid w:val="38241F4A"/>
    <w:rsid w:val="382474BE"/>
    <w:rsid w:val="382B33B0"/>
    <w:rsid w:val="38310D30"/>
    <w:rsid w:val="38331857"/>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2E34EF"/>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952D0A"/>
    <w:rsid w:val="39A04307"/>
    <w:rsid w:val="39A703A5"/>
    <w:rsid w:val="39AD2665"/>
    <w:rsid w:val="39C00132"/>
    <w:rsid w:val="39C00658"/>
    <w:rsid w:val="39C34A83"/>
    <w:rsid w:val="39C876AA"/>
    <w:rsid w:val="39CC4705"/>
    <w:rsid w:val="39D0329F"/>
    <w:rsid w:val="39D644B1"/>
    <w:rsid w:val="39DD6DEA"/>
    <w:rsid w:val="39DE4386"/>
    <w:rsid w:val="39DF37D5"/>
    <w:rsid w:val="39E61B89"/>
    <w:rsid w:val="39ED27A3"/>
    <w:rsid w:val="39FA2804"/>
    <w:rsid w:val="39FB0E30"/>
    <w:rsid w:val="39FB49A1"/>
    <w:rsid w:val="3A003BFB"/>
    <w:rsid w:val="3A0112A2"/>
    <w:rsid w:val="3A0409BB"/>
    <w:rsid w:val="3A051F41"/>
    <w:rsid w:val="3A054A83"/>
    <w:rsid w:val="3A107A70"/>
    <w:rsid w:val="3A1A4BC0"/>
    <w:rsid w:val="3A1C5DFA"/>
    <w:rsid w:val="3A1D4E9A"/>
    <w:rsid w:val="3A1E5C85"/>
    <w:rsid w:val="3A227A56"/>
    <w:rsid w:val="3A245807"/>
    <w:rsid w:val="3A2A7209"/>
    <w:rsid w:val="3A3325F3"/>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44032"/>
    <w:rsid w:val="3AA913FD"/>
    <w:rsid w:val="3AA931B5"/>
    <w:rsid w:val="3AAF313A"/>
    <w:rsid w:val="3AAF360B"/>
    <w:rsid w:val="3AB10271"/>
    <w:rsid w:val="3AB24182"/>
    <w:rsid w:val="3AB66707"/>
    <w:rsid w:val="3ABD5C93"/>
    <w:rsid w:val="3ABE42D8"/>
    <w:rsid w:val="3ABE7AA6"/>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2379B"/>
    <w:rsid w:val="3B194589"/>
    <w:rsid w:val="3B1F7B05"/>
    <w:rsid w:val="3B210401"/>
    <w:rsid w:val="3B226B5E"/>
    <w:rsid w:val="3B2811AE"/>
    <w:rsid w:val="3B2819AB"/>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47598"/>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1F4016"/>
    <w:rsid w:val="3D20751E"/>
    <w:rsid w:val="3D2A3034"/>
    <w:rsid w:val="3D2E364F"/>
    <w:rsid w:val="3D330529"/>
    <w:rsid w:val="3D350B20"/>
    <w:rsid w:val="3D392003"/>
    <w:rsid w:val="3D416EA9"/>
    <w:rsid w:val="3D465130"/>
    <w:rsid w:val="3D4A120B"/>
    <w:rsid w:val="3D4E3E7A"/>
    <w:rsid w:val="3D4E400A"/>
    <w:rsid w:val="3D5549C8"/>
    <w:rsid w:val="3D5D4227"/>
    <w:rsid w:val="3D6C28B1"/>
    <w:rsid w:val="3D6F52B4"/>
    <w:rsid w:val="3D7555CB"/>
    <w:rsid w:val="3D7712B7"/>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53ADD"/>
    <w:rsid w:val="3E1C416D"/>
    <w:rsid w:val="3E1F13F2"/>
    <w:rsid w:val="3E2B0F56"/>
    <w:rsid w:val="3E315C9A"/>
    <w:rsid w:val="3E3232D4"/>
    <w:rsid w:val="3E3559AD"/>
    <w:rsid w:val="3E376525"/>
    <w:rsid w:val="3E3C0B32"/>
    <w:rsid w:val="3E465299"/>
    <w:rsid w:val="3E4B0C0A"/>
    <w:rsid w:val="3E5474EE"/>
    <w:rsid w:val="3E561963"/>
    <w:rsid w:val="3E5810F2"/>
    <w:rsid w:val="3E5862A3"/>
    <w:rsid w:val="3E587FD1"/>
    <w:rsid w:val="3E5B55F7"/>
    <w:rsid w:val="3E5D3F45"/>
    <w:rsid w:val="3E5E07CE"/>
    <w:rsid w:val="3E634872"/>
    <w:rsid w:val="3E6D3C29"/>
    <w:rsid w:val="3E706685"/>
    <w:rsid w:val="3E7562ED"/>
    <w:rsid w:val="3E761C95"/>
    <w:rsid w:val="3E780CD4"/>
    <w:rsid w:val="3E791298"/>
    <w:rsid w:val="3E7A661E"/>
    <w:rsid w:val="3E7B597C"/>
    <w:rsid w:val="3E7D3EE4"/>
    <w:rsid w:val="3E7E4868"/>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7ADD"/>
    <w:rsid w:val="3EF54409"/>
    <w:rsid w:val="3EF742CC"/>
    <w:rsid w:val="3EF7613F"/>
    <w:rsid w:val="3F065EFD"/>
    <w:rsid w:val="3F097060"/>
    <w:rsid w:val="3F0A2C69"/>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455B"/>
    <w:rsid w:val="3FBA32BF"/>
    <w:rsid w:val="3FBD05DF"/>
    <w:rsid w:val="3FC05D9C"/>
    <w:rsid w:val="3FC55E1B"/>
    <w:rsid w:val="3FC5687C"/>
    <w:rsid w:val="3FC72CB0"/>
    <w:rsid w:val="3FC76C8B"/>
    <w:rsid w:val="3FCF23DD"/>
    <w:rsid w:val="3FD33B10"/>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E5ACE"/>
    <w:rsid w:val="40101A85"/>
    <w:rsid w:val="401360FA"/>
    <w:rsid w:val="40177CAF"/>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E4EB2"/>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69B3"/>
    <w:rsid w:val="414277A8"/>
    <w:rsid w:val="414A3E10"/>
    <w:rsid w:val="414B3AA2"/>
    <w:rsid w:val="41502926"/>
    <w:rsid w:val="41513189"/>
    <w:rsid w:val="415F7476"/>
    <w:rsid w:val="41622BA0"/>
    <w:rsid w:val="416F1646"/>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45CBE"/>
    <w:rsid w:val="42197C91"/>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CC41D8"/>
    <w:rsid w:val="42D849EE"/>
    <w:rsid w:val="42DC3029"/>
    <w:rsid w:val="42DC5A8C"/>
    <w:rsid w:val="42DC7F7C"/>
    <w:rsid w:val="42DD0067"/>
    <w:rsid w:val="42DD5EC9"/>
    <w:rsid w:val="42E17373"/>
    <w:rsid w:val="42E502F5"/>
    <w:rsid w:val="42E87402"/>
    <w:rsid w:val="42EB6D52"/>
    <w:rsid w:val="42F14FB4"/>
    <w:rsid w:val="43017B6D"/>
    <w:rsid w:val="43021632"/>
    <w:rsid w:val="43061A6E"/>
    <w:rsid w:val="43072A65"/>
    <w:rsid w:val="43092E10"/>
    <w:rsid w:val="430A27B3"/>
    <w:rsid w:val="430B5D6E"/>
    <w:rsid w:val="431049B1"/>
    <w:rsid w:val="431B3898"/>
    <w:rsid w:val="4322345A"/>
    <w:rsid w:val="43231966"/>
    <w:rsid w:val="43232B12"/>
    <w:rsid w:val="43273F04"/>
    <w:rsid w:val="432A6812"/>
    <w:rsid w:val="432A7A55"/>
    <w:rsid w:val="4330119D"/>
    <w:rsid w:val="4331599B"/>
    <w:rsid w:val="43327ABA"/>
    <w:rsid w:val="43332BD3"/>
    <w:rsid w:val="43367CDF"/>
    <w:rsid w:val="433E6455"/>
    <w:rsid w:val="434425F8"/>
    <w:rsid w:val="434461A7"/>
    <w:rsid w:val="4345760E"/>
    <w:rsid w:val="434677FF"/>
    <w:rsid w:val="43496B59"/>
    <w:rsid w:val="43596015"/>
    <w:rsid w:val="435B4BE5"/>
    <w:rsid w:val="4360500C"/>
    <w:rsid w:val="436073DA"/>
    <w:rsid w:val="43695BEA"/>
    <w:rsid w:val="436971F6"/>
    <w:rsid w:val="436D13EF"/>
    <w:rsid w:val="436E482F"/>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82A2C"/>
    <w:rsid w:val="43DF4BED"/>
    <w:rsid w:val="43E722A3"/>
    <w:rsid w:val="43EE0AA9"/>
    <w:rsid w:val="43EF62AC"/>
    <w:rsid w:val="43F13345"/>
    <w:rsid w:val="43F86AD8"/>
    <w:rsid w:val="43F95C99"/>
    <w:rsid w:val="43FA5C03"/>
    <w:rsid w:val="43FC500F"/>
    <w:rsid w:val="43FE7E59"/>
    <w:rsid w:val="44033801"/>
    <w:rsid w:val="44033E9C"/>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A6E2E"/>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C0F24"/>
    <w:rsid w:val="453E6E09"/>
    <w:rsid w:val="454012E7"/>
    <w:rsid w:val="45434E8C"/>
    <w:rsid w:val="45444A9D"/>
    <w:rsid w:val="454A343E"/>
    <w:rsid w:val="45551856"/>
    <w:rsid w:val="45556C4B"/>
    <w:rsid w:val="45564419"/>
    <w:rsid w:val="45582AA2"/>
    <w:rsid w:val="45601CE9"/>
    <w:rsid w:val="456B7A72"/>
    <w:rsid w:val="45756A52"/>
    <w:rsid w:val="457C1C68"/>
    <w:rsid w:val="457E6C02"/>
    <w:rsid w:val="458253D4"/>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A42D6"/>
    <w:rsid w:val="466D0B7B"/>
    <w:rsid w:val="46702C61"/>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4E5073"/>
    <w:rsid w:val="47522582"/>
    <w:rsid w:val="4753025B"/>
    <w:rsid w:val="475753A8"/>
    <w:rsid w:val="47586FED"/>
    <w:rsid w:val="476068F1"/>
    <w:rsid w:val="47641EB1"/>
    <w:rsid w:val="4768463A"/>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B7299"/>
    <w:rsid w:val="483C1C82"/>
    <w:rsid w:val="48400E8A"/>
    <w:rsid w:val="48416F82"/>
    <w:rsid w:val="484F41A2"/>
    <w:rsid w:val="48523A34"/>
    <w:rsid w:val="48545227"/>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219DC"/>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3C5028"/>
    <w:rsid w:val="49403057"/>
    <w:rsid w:val="49407EF1"/>
    <w:rsid w:val="4942210A"/>
    <w:rsid w:val="49436453"/>
    <w:rsid w:val="49442EDC"/>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963E14"/>
    <w:rsid w:val="49967804"/>
    <w:rsid w:val="499721AD"/>
    <w:rsid w:val="499762DC"/>
    <w:rsid w:val="49980409"/>
    <w:rsid w:val="499C0F2B"/>
    <w:rsid w:val="499E33C0"/>
    <w:rsid w:val="49A47274"/>
    <w:rsid w:val="49AD512B"/>
    <w:rsid w:val="49B23D17"/>
    <w:rsid w:val="49B37D36"/>
    <w:rsid w:val="49B702DC"/>
    <w:rsid w:val="49BC2B2A"/>
    <w:rsid w:val="49BF7DBC"/>
    <w:rsid w:val="49C7275D"/>
    <w:rsid w:val="49CA1585"/>
    <w:rsid w:val="49CD0E2D"/>
    <w:rsid w:val="49CD2C4F"/>
    <w:rsid w:val="49CD64B7"/>
    <w:rsid w:val="49D72954"/>
    <w:rsid w:val="49E07CE3"/>
    <w:rsid w:val="49E11966"/>
    <w:rsid w:val="49E16086"/>
    <w:rsid w:val="49EB78E5"/>
    <w:rsid w:val="49EE2D6D"/>
    <w:rsid w:val="49F1304C"/>
    <w:rsid w:val="49F40FD5"/>
    <w:rsid w:val="49FB30D5"/>
    <w:rsid w:val="49FE1F48"/>
    <w:rsid w:val="4A004F79"/>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A14A86"/>
    <w:rsid w:val="4AA43A1F"/>
    <w:rsid w:val="4AAC3954"/>
    <w:rsid w:val="4AB33224"/>
    <w:rsid w:val="4AB61230"/>
    <w:rsid w:val="4AB71223"/>
    <w:rsid w:val="4AB932C8"/>
    <w:rsid w:val="4ABB09B7"/>
    <w:rsid w:val="4AC40544"/>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2041C"/>
    <w:rsid w:val="4BA42BD9"/>
    <w:rsid w:val="4BAE122E"/>
    <w:rsid w:val="4BBC02D7"/>
    <w:rsid w:val="4BC12B18"/>
    <w:rsid w:val="4BC61DC5"/>
    <w:rsid w:val="4BC63121"/>
    <w:rsid w:val="4BD20C60"/>
    <w:rsid w:val="4BD50A80"/>
    <w:rsid w:val="4BD66764"/>
    <w:rsid w:val="4BDB21FA"/>
    <w:rsid w:val="4BE36C71"/>
    <w:rsid w:val="4BE61218"/>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37595"/>
    <w:rsid w:val="4C452FFF"/>
    <w:rsid w:val="4C4E4107"/>
    <w:rsid w:val="4C554981"/>
    <w:rsid w:val="4C557A11"/>
    <w:rsid w:val="4C5F51D8"/>
    <w:rsid w:val="4C623797"/>
    <w:rsid w:val="4C63031C"/>
    <w:rsid w:val="4C6740A2"/>
    <w:rsid w:val="4C756015"/>
    <w:rsid w:val="4C7C031A"/>
    <w:rsid w:val="4C7C08D0"/>
    <w:rsid w:val="4C7D70E8"/>
    <w:rsid w:val="4C810ED8"/>
    <w:rsid w:val="4C8475C2"/>
    <w:rsid w:val="4C860B2A"/>
    <w:rsid w:val="4C865558"/>
    <w:rsid w:val="4C8853AD"/>
    <w:rsid w:val="4C892CF0"/>
    <w:rsid w:val="4C8D0FC0"/>
    <w:rsid w:val="4C8E2FBA"/>
    <w:rsid w:val="4C906D28"/>
    <w:rsid w:val="4C9149B8"/>
    <w:rsid w:val="4C95773A"/>
    <w:rsid w:val="4C990BCD"/>
    <w:rsid w:val="4C9A4A99"/>
    <w:rsid w:val="4C9E19A3"/>
    <w:rsid w:val="4CA2019D"/>
    <w:rsid w:val="4CA37041"/>
    <w:rsid w:val="4CAC0BC4"/>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2312A"/>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E182B"/>
    <w:rsid w:val="4DC005BF"/>
    <w:rsid w:val="4DC24F3B"/>
    <w:rsid w:val="4DC77BEE"/>
    <w:rsid w:val="4DCC2553"/>
    <w:rsid w:val="4DCC25D9"/>
    <w:rsid w:val="4DD052D5"/>
    <w:rsid w:val="4DDD43EF"/>
    <w:rsid w:val="4DE01E78"/>
    <w:rsid w:val="4DE965A6"/>
    <w:rsid w:val="4DF50639"/>
    <w:rsid w:val="4DF666F0"/>
    <w:rsid w:val="4DFE0F00"/>
    <w:rsid w:val="4E040C51"/>
    <w:rsid w:val="4E07020E"/>
    <w:rsid w:val="4E076D4A"/>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66564"/>
    <w:rsid w:val="4EA73AB0"/>
    <w:rsid w:val="4EA84426"/>
    <w:rsid w:val="4EAB217A"/>
    <w:rsid w:val="4EB52137"/>
    <w:rsid w:val="4EB73E2F"/>
    <w:rsid w:val="4EBB65E7"/>
    <w:rsid w:val="4EBF2C53"/>
    <w:rsid w:val="4EC51408"/>
    <w:rsid w:val="4EC96A14"/>
    <w:rsid w:val="4ECA712B"/>
    <w:rsid w:val="4ECB6487"/>
    <w:rsid w:val="4ECC7C48"/>
    <w:rsid w:val="4ECE7319"/>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2E277A"/>
    <w:rsid w:val="4F327290"/>
    <w:rsid w:val="4F3A1522"/>
    <w:rsid w:val="4F3A454E"/>
    <w:rsid w:val="4F3D2661"/>
    <w:rsid w:val="4F3E4567"/>
    <w:rsid w:val="4F40787D"/>
    <w:rsid w:val="4F41097C"/>
    <w:rsid w:val="4F4137B3"/>
    <w:rsid w:val="4F482860"/>
    <w:rsid w:val="4F487299"/>
    <w:rsid w:val="4F4A1A20"/>
    <w:rsid w:val="4F4E2A7B"/>
    <w:rsid w:val="4F4E2D84"/>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9F7AFC"/>
    <w:rsid w:val="4FA1689D"/>
    <w:rsid w:val="4FA35065"/>
    <w:rsid w:val="4FA71943"/>
    <w:rsid w:val="4FB36127"/>
    <w:rsid w:val="4FB758B2"/>
    <w:rsid w:val="4FB952F1"/>
    <w:rsid w:val="4FC94AF2"/>
    <w:rsid w:val="4FCB5260"/>
    <w:rsid w:val="4FCB650F"/>
    <w:rsid w:val="4FCE3EC5"/>
    <w:rsid w:val="4FE00E81"/>
    <w:rsid w:val="4FE45BD1"/>
    <w:rsid w:val="4FE56060"/>
    <w:rsid w:val="4FEA0FEF"/>
    <w:rsid w:val="4FEE3280"/>
    <w:rsid w:val="4FF36DA2"/>
    <w:rsid w:val="4FFE02AC"/>
    <w:rsid w:val="50024D7D"/>
    <w:rsid w:val="500647A0"/>
    <w:rsid w:val="500713FC"/>
    <w:rsid w:val="500779F7"/>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234E3"/>
    <w:rsid w:val="50C563FB"/>
    <w:rsid w:val="50C862F8"/>
    <w:rsid w:val="50D268DF"/>
    <w:rsid w:val="50D32DBC"/>
    <w:rsid w:val="50DA0DE1"/>
    <w:rsid w:val="50DE003A"/>
    <w:rsid w:val="50E850A8"/>
    <w:rsid w:val="50ED0D06"/>
    <w:rsid w:val="50EE1F92"/>
    <w:rsid w:val="51085839"/>
    <w:rsid w:val="51085F1B"/>
    <w:rsid w:val="510A4ABF"/>
    <w:rsid w:val="511749CA"/>
    <w:rsid w:val="51176F32"/>
    <w:rsid w:val="511B57BF"/>
    <w:rsid w:val="51236E17"/>
    <w:rsid w:val="513762B1"/>
    <w:rsid w:val="513A408B"/>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E462A"/>
    <w:rsid w:val="51AF608E"/>
    <w:rsid w:val="51B27DFE"/>
    <w:rsid w:val="51B37051"/>
    <w:rsid w:val="51B44B36"/>
    <w:rsid w:val="51B51E93"/>
    <w:rsid w:val="51BC7B58"/>
    <w:rsid w:val="51C10EBB"/>
    <w:rsid w:val="51C436C9"/>
    <w:rsid w:val="51C9446F"/>
    <w:rsid w:val="51DA4E91"/>
    <w:rsid w:val="51DF24D3"/>
    <w:rsid w:val="51E96BB5"/>
    <w:rsid w:val="51EF47CF"/>
    <w:rsid w:val="51FB18A2"/>
    <w:rsid w:val="51FF7286"/>
    <w:rsid w:val="5207265A"/>
    <w:rsid w:val="521153DD"/>
    <w:rsid w:val="521A6B40"/>
    <w:rsid w:val="521C7DEC"/>
    <w:rsid w:val="522231D7"/>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934ED9"/>
    <w:rsid w:val="52962AB6"/>
    <w:rsid w:val="529820D1"/>
    <w:rsid w:val="529A4C30"/>
    <w:rsid w:val="529D3AD0"/>
    <w:rsid w:val="52A61AD6"/>
    <w:rsid w:val="52A918AF"/>
    <w:rsid w:val="52AE4D81"/>
    <w:rsid w:val="52B13F6B"/>
    <w:rsid w:val="52B27F37"/>
    <w:rsid w:val="52C3312F"/>
    <w:rsid w:val="52C41E43"/>
    <w:rsid w:val="52C67BF1"/>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60530"/>
    <w:rsid w:val="53175A27"/>
    <w:rsid w:val="531A0591"/>
    <w:rsid w:val="531C47D1"/>
    <w:rsid w:val="531E6EA3"/>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25A76"/>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35AE2"/>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5B16"/>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D073F"/>
    <w:rsid w:val="549046E8"/>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50FE8"/>
    <w:rsid w:val="54F651B3"/>
    <w:rsid w:val="54F66DE2"/>
    <w:rsid w:val="55067A91"/>
    <w:rsid w:val="5514461C"/>
    <w:rsid w:val="551D5716"/>
    <w:rsid w:val="551E5F55"/>
    <w:rsid w:val="5522463A"/>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6E56"/>
    <w:rsid w:val="557C6B7E"/>
    <w:rsid w:val="557E74E8"/>
    <w:rsid w:val="55803F7C"/>
    <w:rsid w:val="558434F4"/>
    <w:rsid w:val="5587719D"/>
    <w:rsid w:val="558E1C37"/>
    <w:rsid w:val="559264EF"/>
    <w:rsid w:val="55932EBA"/>
    <w:rsid w:val="5595422A"/>
    <w:rsid w:val="559661D7"/>
    <w:rsid w:val="55AE002D"/>
    <w:rsid w:val="55B66D2E"/>
    <w:rsid w:val="55BA46DC"/>
    <w:rsid w:val="55BB1464"/>
    <w:rsid w:val="55BE303B"/>
    <w:rsid w:val="55CE7D50"/>
    <w:rsid w:val="55E71247"/>
    <w:rsid w:val="55F13216"/>
    <w:rsid w:val="55F53DC2"/>
    <w:rsid w:val="55FB38C2"/>
    <w:rsid w:val="55FB4CD1"/>
    <w:rsid w:val="56053A66"/>
    <w:rsid w:val="56062FC0"/>
    <w:rsid w:val="560B7B72"/>
    <w:rsid w:val="560C7E69"/>
    <w:rsid w:val="56154A4C"/>
    <w:rsid w:val="561F640A"/>
    <w:rsid w:val="56215F3C"/>
    <w:rsid w:val="562E3095"/>
    <w:rsid w:val="563249DB"/>
    <w:rsid w:val="563C5D74"/>
    <w:rsid w:val="563D4E7F"/>
    <w:rsid w:val="56416CC2"/>
    <w:rsid w:val="56490EFC"/>
    <w:rsid w:val="564B4F7F"/>
    <w:rsid w:val="564E1154"/>
    <w:rsid w:val="565209A5"/>
    <w:rsid w:val="565F174D"/>
    <w:rsid w:val="565F55DF"/>
    <w:rsid w:val="56614984"/>
    <w:rsid w:val="56624253"/>
    <w:rsid w:val="56632FA6"/>
    <w:rsid w:val="56661C41"/>
    <w:rsid w:val="566A381A"/>
    <w:rsid w:val="56744CC5"/>
    <w:rsid w:val="567763EB"/>
    <w:rsid w:val="567B199A"/>
    <w:rsid w:val="567D1B47"/>
    <w:rsid w:val="568647E1"/>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43D0F"/>
    <w:rsid w:val="57757306"/>
    <w:rsid w:val="57790012"/>
    <w:rsid w:val="57795FE6"/>
    <w:rsid w:val="577A4DCA"/>
    <w:rsid w:val="57807D67"/>
    <w:rsid w:val="57862B6B"/>
    <w:rsid w:val="57903B7D"/>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B11B9"/>
    <w:rsid w:val="57C0151D"/>
    <w:rsid w:val="57C14748"/>
    <w:rsid w:val="57C30805"/>
    <w:rsid w:val="57C51A82"/>
    <w:rsid w:val="57C548AC"/>
    <w:rsid w:val="57CB091F"/>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2028"/>
    <w:rsid w:val="585C368E"/>
    <w:rsid w:val="585D4900"/>
    <w:rsid w:val="5862122B"/>
    <w:rsid w:val="58646E97"/>
    <w:rsid w:val="586646D0"/>
    <w:rsid w:val="5867516A"/>
    <w:rsid w:val="586A5C4C"/>
    <w:rsid w:val="586E7A63"/>
    <w:rsid w:val="58711673"/>
    <w:rsid w:val="58802421"/>
    <w:rsid w:val="58875F73"/>
    <w:rsid w:val="588D1666"/>
    <w:rsid w:val="588F71C9"/>
    <w:rsid w:val="58914185"/>
    <w:rsid w:val="58920F1B"/>
    <w:rsid w:val="58AB69E5"/>
    <w:rsid w:val="58B049A7"/>
    <w:rsid w:val="58B167FD"/>
    <w:rsid w:val="58B513F7"/>
    <w:rsid w:val="58B6002C"/>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C5353"/>
    <w:rsid w:val="59A379DA"/>
    <w:rsid w:val="59AA1BC7"/>
    <w:rsid w:val="59C10669"/>
    <w:rsid w:val="59C86714"/>
    <w:rsid w:val="59CF05F4"/>
    <w:rsid w:val="59D02F5D"/>
    <w:rsid w:val="59D40772"/>
    <w:rsid w:val="59D713B0"/>
    <w:rsid w:val="59DA51E0"/>
    <w:rsid w:val="59DD71E5"/>
    <w:rsid w:val="59E43422"/>
    <w:rsid w:val="59E632A9"/>
    <w:rsid w:val="59E9788B"/>
    <w:rsid w:val="59F61524"/>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53DAF"/>
    <w:rsid w:val="5B183C22"/>
    <w:rsid w:val="5B1D3757"/>
    <w:rsid w:val="5B217D0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65BD1"/>
    <w:rsid w:val="5BAA1566"/>
    <w:rsid w:val="5BAB3CDE"/>
    <w:rsid w:val="5BAC5FEF"/>
    <w:rsid w:val="5BAC660D"/>
    <w:rsid w:val="5BB90A97"/>
    <w:rsid w:val="5BC80573"/>
    <w:rsid w:val="5BC973B5"/>
    <w:rsid w:val="5BCC4604"/>
    <w:rsid w:val="5BD17E46"/>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C0B98"/>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223C5"/>
    <w:rsid w:val="5CB34991"/>
    <w:rsid w:val="5CB70F5B"/>
    <w:rsid w:val="5CBE6A7F"/>
    <w:rsid w:val="5CC03AD8"/>
    <w:rsid w:val="5CC13B5F"/>
    <w:rsid w:val="5CC350B6"/>
    <w:rsid w:val="5CC37205"/>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D01687D"/>
    <w:rsid w:val="5D03163C"/>
    <w:rsid w:val="5D0463C2"/>
    <w:rsid w:val="5D065149"/>
    <w:rsid w:val="5D0852A9"/>
    <w:rsid w:val="5D0A6B07"/>
    <w:rsid w:val="5D0C0E20"/>
    <w:rsid w:val="5D0D0434"/>
    <w:rsid w:val="5D0F4AFA"/>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6D59F7"/>
    <w:rsid w:val="5D7013D1"/>
    <w:rsid w:val="5D717DBF"/>
    <w:rsid w:val="5D763D0D"/>
    <w:rsid w:val="5D7F4B1E"/>
    <w:rsid w:val="5D810355"/>
    <w:rsid w:val="5D843249"/>
    <w:rsid w:val="5D895296"/>
    <w:rsid w:val="5D8E4CC4"/>
    <w:rsid w:val="5D96244D"/>
    <w:rsid w:val="5D9A6F73"/>
    <w:rsid w:val="5D9B4ECE"/>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83AB4"/>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802BA9"/>
    <w:rsid w:val="5E891B83"/>
    <w:rsid w:val="5E924596"/>
    <w:rsid w:val="5E926A43"/>
    <w:rsid w:val="5E947B41"/>
    <w:rsid w:val="5E9C24EB"/>
    <w:rsid w:val="5EAC01E3"/>
    <w:rsid w:val="5EAC04C5"/>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16459"/>
    <w:rsid w:val="5F025A60"/>
    <w:rsid w:val="5F033611"/>
    <w:rsid w:val="5F051F6F"/>
    <w:rsid w:val="5F0538D5"/>
    <w:rsid w:val="5F074075"/>
    <w:rsid w:val="5F0B74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615247"/>
    <w:rsid w:val="5F6A5A0A"/>
    <w:rsid w:val="5F6F6F70"/>
    <w:rsid w:val="5F73758B"/>
    <w:rsid w:val="5F796C02"/>
    <w:rsid w:val="5F7A3813"/>
    <w:rsid w:val="5F7B787C"/>
    <w:rsid w:val="5F7C348D"/>
    <w:rsid w:val="5F7D2DFF"/>
    <w:rsid w:val="5F8C2B1C"/>
    <w:rsid w:val="5F8E07ED"/>
    <w:rsid w:val="5F9D5EA1"/>
    <w:rsid w:val="5F9D7BCF"/>
    <w:rsid w:val="5FA03264"/>
    <w:rsid w:val="5FA67313"/>
    <w:rsid w:val="5FAF6A8E"/>
    <w:rsid w:val="5FB41C12"/>
    <w:rsid w:val="5FB66F77"/>
    <w:rsid w:val="5FBD0EC7"/>
    <w:rsid w:val="5FC23A38"/>
    <w:rsid w:val="5FC458D2"/>
    <w:rsid w:val="5FCE6F1E"/>
    <w:rsid w:val="5FD53448"/>
    <w:rsid w:val="5FD91C36"/>
    <w:rsid w:val="5FE80E96"/>
    <w:rsid w:val="5FE96661"/>
    <w:rsid w:val="5FF03685"/>
    <w:rsid w:val="5FF44B73"/>
    <w:rsid w:val="5FF70698"/>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612E69"/>
    <w:rsid w:val="6064351F"/>
    <w:rsid w:val="606D2ECB"/>
    <w:rsid w:val="60732D14"/>
    <w:rsid w:val="607524D0"/>
    <w:rsid w:val="60790820"/>
    <w:rsid w:val="607D133A"/>
    <w:rsid w:val="60873830"/>
    <w:rsid w:val="608A0928"/>
    <w:rsid w:val="608C48FA"/>
    <w:rsid w:val="608C7C9B"/>
    <w:rsid w:val="608D00EE"/>
    <w:rsid w:val="60934A43"/>
    <w:rsid w:val="609457A2"/>
    <w:rsid w:val="609542E0"/>
    <w:rsid w:val="60A759FE"/>
    <w:rsid w:val="60B17E63"/>
    <w:rsid w:val="60B40EFB"/>
    <w:rsid w:val="60B42DEF"/>
    <w:rsid w:val="60BA1CFD"/>
    <w:rsid w:val="60BA3688"/>
    <w:rsid w:val="60BE3A10"/>
    <w:rsid w:val="60BE7F1C"/>
    <w:rsid w:val="60C00D53"/>
    <w:rsid w:val="60C41F6D"/>
    <w:rsid w:val="60C66A6E"/>
    <w:rsid w:val="60D44DA5"/>
    <w:rsid w:val="60D839FF"/>
    <w:rsid w:val="60DB5344"/>
    <w:rsid w:val="60DB6AD7"/>
    <w:rsid w:val="60DC2AE2"/>
    <w:rsid w:val="60DE494B"/>
    <w:rsid w:val="60E0373A"/>
    <w:rsid w:val="60E264E0"/>
    <w:rsid w:val="60E33A55"/>
    <w:rsid w:val="60E43BF8"/>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95324"/>
    <w:rsid w:val="61AA2B1C"/>
    <w:rsid w:val="61B02285"/>
    <w:rsid w:val="61BB7507"/>
    <w:rsid w:val="61BD0FD1"/>
    <w:rsid w:val="61C63667"/>
    <w:rsid w:val="61CA1D42"/>
    <w:rsid w:val="61D033C7"/>
    <w:rsid w:val="61D17660"/>
    <w:rsid w:val="61D2628F"/>
    <w:rsid w:val="61D72ED5"/>
    <w:rsid w:val="61D978CA"/>
    <w:rsid w:val="61DE44CF"/>
    <w:rsid w:val="61E07E1D"/>
    <w:rsid w:val="61E84C35"/>
    <w:rsid w:val="61F64453"/>
    <w:rsid w:val="61F66272"/>
    <w:rsid w:val="61F938CE"/>
    <w:rsid w:val="61FA3894"/>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46C56"/>
    <w:rsid w:val="62675C23"/>
    <w:rsid w:val="626913D2"/>
    <w:rsid w:val="626E4340"/>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706EF"/>
    <w:rsid w:val="637A59E1"/>
    <w:rsid w:val="637F0E1A"/>
    <w:rsid w:val="6380124C"/>
    <w:rsid w:val="63815196"/>
    <w:rsid w:val="6391041C"/>
    <w:rsid w:val="63961D33"/>
    <w:rsid w:val="63987080"/>
    <w:rsid w:val="639B5A3B"/>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65437C"/>
    <w:rsid w:val="64686A65"/>
    <w:rsid w:val="646B3F3E"/>
    <w:rsid w:val="646D1CD3"/>
    <w:rsid w:val="6476698F"/>
    <w:rsid w:val="647B6BF9"/>
    <w:rsid w:val="647D6981"/>
    <w:rsid w:val="647E5324"/>
    <w:rsid w:val="64827BE0"/>
    <w:rsid w:val="649253FB"/>
    <w:rsid w:val="64935771"/>
    <w:rsid w:val="64961FD3"/>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13852"/>
    <w:rsid w:val="64F2135A"/>
    <w:rsid w:val="64F47A94"/>
    <w:rsid w:val="64F656FB"/>
    <w:rsid w:val="64F65983"/>
    <w:rsid w:val="64F92204"/>
    <w:rsid w:val="65004915"/>
    <w:rsid w:val="650771CA"/>
    <w:rsid w:val="650C6EF7"/>
    <w:rsid w:val="650F000D"/>
    <w:rsid w:val="6512513F"/>
    <w:rsid w:val="65154158"/>
    <w:rsid w:val="65172DBA"/>
    <w:rsid w:val="65195A3C"/>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7402F"/>
    <w:rsid w:val="659B3091"/>
    <w:rsid w:val="659F1B33"/>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76E88"/>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1E31C9"/>
    <w:rsid w:val="68206C4A"/>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75DFE"/>
    <w:rsid w:val="6899632D"/>
    <w:rsid w:val="689C1173"/>
    <w:rsid w:val="689D30E4"/>
    <w:rsid w:val="689F3DA8"/>
    <w:rsid w:val="68A176D0"/>
    <w:rsid w:val="68AF2BBF"/>
    <w:rsid w:val="68B757FF"/>
    <w:rsid w:val="68C04773"/>
    <w:rsid w:val="68C23ED8"/>
    <w:rsid w:val="68CE2F53"/>
    <w:rsid w:val="68CF436D"/>
    <w:rsid w:val="68D5610B"/>
    <w:rsid w:val="68D56BA6"/>
    <w:rsid w:val="68D9793D"/>
    <w:rsid w:val="68DE2553"/>
    <w:rsid w:val="68E5744A"/>
    <w:rsid w:val="68E90916"/>
    <w:rsid w:val="68EE43B5"/>
    <w:rsid w:val="68EF69B4"/>
    <w:rsid w:val="68F4009D"/>
    <w:rsid w:val="68F43917"/>
    <w:rsid w:val="68F502B2"/>
    <w:rsid w:val="68F75E81"/>
    <w:rsid w:val="69032EE2"/>
    <w:rsid w:val="69147FD7"/>
    <w:rsid w:val="691C241A"/>
    <w:rsid w:val="6923324E"/>
    <w:rsid w:val="69254EED"/>
    <w:rsid w:val="69285A92"/>
    <w:rsid w:val="692D45F6"/>
    <w:rsid w:val="692F3574"/>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D5274"/>
    <w:rsid w:val="69F47F8E"/>
    <w:rsid w:val="69F55347"/>
    <w:rsid w:val="69F56D77"/>
    <w:rsid w:val="69FB1DED"/>
    <w:rsid w:val="69FD3E80"/>
    <w:rsid w:val="6A003B69"/>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B5C4E"/>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DD1B51"/>
    <w:rsid w:val="6AE45778"/>
    <w:rsid w:val="6AE74CC5"/>
    <w:rsid w:val="6AE90007"/>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B5F09"/>
    <w:rsid w:val="6B7F2048"/>
    <w:rsid w:val="6B832B21"/>
    <w:rsid w:val="6B867E5C"/>
    <w:rsid w:val="6B88607A"/>
    <w:rsid w:val="6B9150FF"/>
    <w:rsid w:val="6B946BF3"/>
    <w:rsid w:val="6BA2350F"/>
    <w:rsid w:val="6BA31178"/>
    <w:rsid w:val="6BB2108D"/>
    <w:rsid w:val="6BBA4ECD"/>
    <w:rsid w:val="6BD1743B"/>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2780C"/>
    <w:rsid w:val="6D435C77"/>
    <w:rsid w:val="6D457E3C"/>
    <w:rsid w:val="6D470A7E"/>
    <w:rsid w:val="6D4C4DFE"/>
    <w:rsid w:val="6D4C5E69"/>
    <w:rsid w:val="6D537D1B"/>
    <w:rsid w:val="6D5A2C9B"/>
    <w:rsid w:val="6D5E0B4C"/>
    <w:rsid w:val="6D5E1190"/>
    <w:rsid w:val="6D611D78"/>
    <w:rsid w:val="6D6135F4"/>
    <w:rsid w:val="6D644AC3"/>
    <w:rsid w:val="6D661353"/>
    <w:rsid w:val="6D6E7693"/>
    <w:rsid w:val="6D702EBB"/>
    <w:rsid w:val="6D7302DF"/>
    <w:rsid w:val="6D804AB6"/>
    <w:rsid w:val="6D8051E1"/>
    <w:rsid w:val="6D834E2B"/>
    <w:rsid w:val="6D84000B"/>
    <w:rsid w:val="6D8D2542"/>
    <w:rsid w:val="6D8F0737"/>
    <w:rsid w:val="6D91032E"/>
    <w:rsid w:val="6D9A7080"/>
    <w:rsid w:val="6DA25F0D"/>
    <w:rsid w:val="6DA434FE"/>
    <w:rsid w:val="6DA86646"/>
    <w:rsid w:val="6DAE1C38"/>
    <w:rsid w:val="6DB2070A"/>
    <w:rsid w:val="6DB7599D"/>
    <w:rsid w:val="6DC12404"/>
    <w:rsid w:val="6DC24126"/>
    <w:rsid w:val="6DC3540E"/>
    <w:rsid w:val="6DC66DCA"/>
    <w:rsid w:val="6DC96A9D"/>
    <w:rsid w:val="6DCD448E"/>
    <w:rsid w:val="6DD53FF8"/>
    <w:rsid w:val="6DD829F0"/>
    <w:rsid w:val="6DDF7647"/>
    <w:rsid w:val="6DE36825"/>
    <w:rsid w:val="6DE53394"/>
    <w:rsid w:val="6DE70C3E"/>
    <w:rsid w:val="6DE7336C"/>
    <w:rsid w:val="6DF03BAF"/>
    <w:rsid w:val="6DFC7B9F"/>
    <w:rsid w:val="6E0760D0"/>
    <w:rsid w:val="6E0927C5"/>
    <w:rsid w:val="6E1158BA"/>
    <w:rsid w:val="6E170A81"/>
    <w:rsid w:val="6E185997"/>
    <w:rsid w:val="6E1A373A"/>
    <w:rsid w:val="6E1A7481"/>
    <w:rsid w:val="6E1B105E"/>
    <w:rsid w:val="6E1F5D69"/>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31733"/>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23BEF"/>
    <w:rsid w:val="6F045596"/>
    <w:rsid w:val="6F06324C"/>
    <w:rsid w:val="6F0810D3"/>
    <w:rsid w:val="6F0D32C5"/>
    <w:rsid w:val="6F0D6F84"/>
    <w:rsid w:val="6F0D6FAE"/>
    <w:rsid w:val="6F102A16"/>
    <w:rsid w:val="6F132315"/>
    <w:rsid w:val="6F1635E3"/>
    <w:rsid w:val="6F193EA2"/>
    <w:rsid w:val="6F1A6406"/>
    <w:rsid w:val="6F1B7484"/>
    <w:rsid w:val="6F1F6E65"/>
    <w:rsid w:val="6F247658"/>
    <w:rsid w:val="6F300304"/>
    <w:rsid w:val="6F354460"/>
    <w:rsid w:val="6F364E6A"/>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A64CE"/>
    <w:rsid w:val="6FBF7E82"/>
    <w:rsid w:val="6FC0794B"/>
    <w:rsid w:val="6FC5072F"/>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8B4E0D"/>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6311C"/>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149A0"/>
    <w:rsid w:val="7118667D"/>
    <w:rsid w:val="71196FB8"/>
    <w:rsid w:val="711D328F"/>
    <w:rsid w:val="71276823"/>
    <w:rsid w:val="712E1A7A"/>
    <w:rsid w:val="713122F0"/>
    <w:rsid w:val="71346AEB"/>
    <w:rsid w:val="71367813"/>
    <w:rsid w:val="713C5C10"/>
    <w:rsid w:val="714B0DF4"/>
    <w:rsid w:val="714D267F"/>
    <w:rsid w:val="71507CEF"/>
    <w:rsid w:val="71524583"/>
    <w:rsid w:val="715455B3"/>
    <w:rsid w:val="71553813"/>
    <w:rsid w:val="715B17FA"/>
    <w:rsid w:val="715C70D7"/>
    <w:rsid w:val="715D4E0B"/>
    <w:rsid w:val="715E557A"/>
    <w:rsid w:val="715F1F9A"/>
    <w:rsid w:val="71690217"/>
    <w:rsid w:val="716A46B9"/>
    <w:rsid w:val="71763AF0"/>
    <w:rsid w:val="717801A9"/>
    <w:rsid w:val="717F36DE"/>
    <w:rsid w:val="718778F2"/>
    <w:rsid w:val="71892B0B"/>
    <w:rsid w:val="71900F77"/>
    <w:rsid w:val="719164BB"/>
    <w:rsid w:val="719F26B9"/>
    <w:rsid w:val="719F30CC"/>
    <w:rsid w:val="71A108F8"/>
    <w:rsid w:val="71A13ADE"/>
    <w:rsid w:val="71A213C4"/>
    <w:rsid w:val="71A46691"/>
    <w:rsid w:val="71A52E27"/>
    <w:rsid w:val="71AA3D22"/>
    <w:rsid w:val="71AD0E11"/>
    <w:rsid w:val="71B033EE"/>
    <w:rsid w:val="71B31E21"/>
    <w:rsid w:val="71B4585C"/>
    <w:rsid w:val="71C305B7"/>
    <w:rsid w:val="71C53AE0"/>
    <w:rsid w:val="71C747CA"/>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A09AB"/>
    <w:rsid w:val="723F77B4"/>
    <w:rsid w:val="724B515A"/>
    <w:rsid w:val="72535D9A"/>
    <w:rsid w:val="72560059"/>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DE3857"/>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3891"/>
    <w:rsid w:val="7335267B"/>
    <w:rsid w:val="733B6C99"/>
    <w:rsid w:val="734059E5"/>
    <w:rsid w:val="73496581"/>
    <w:rsid w:val="734B3123"/>
    <w:rsid w:val="734B523B"/>
    <w:rsid w:val="734D0D39"/>
    <w:rsid w:val="734D308A"/>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E3D9F"/>
    <w:rsid w:val="73D1234D"/>
    <w:rsid w:val="73DA5F96"/>
    <w:rsid w:val="73DB2094"/>
    <w:rsid w:val="73E00E40"/>
    <w:rsid w:val="73E15536"/>
    <w:rsid w:val="73E838A6"/>
    <w:rsid w:val="73E87940"/>
    <w:rsid w:val="73EF34A0"/>
    <w:rsid w:val="73F33807"/>
    <w:rsid w:val="73F67C10"/>
    <w:rsid w:val="73FC210E"/>
    <w:rsid w:val="73FE6CBB"/>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A23B17"/>
    <w:rsid w:val="74B30C33"/>
    <w:rsid w:val="74B957EB"/>
    <w:rsid w:val="74CA3AD5"/>
    <w:rsid w:val="74CC087B"/>
    <w:rsid w:val="74CC36DC"/>
    <w:rsid w:val="74CE67CF"/>
    <w:rsid w:val="74CF49BD"/>
    <w:rsid w:val="74D073FB"/>
    <w:rsid w:val="74D25EE2"/>
    <w:rsid w:val="74D94700"/>
    <w:rsid w:val="74E21F05"/>
    <w:rsid w:val="74E73044"/>
    <w:rsid w:val="74EA4730"/>
    <w:rsid w:val="74EA64E9"/>
    <w:rsid w:val="74EB5471"/>
    <w:rsid w:val="74F821E3"/>
    <w:rsid w:val="74FE6EDC"/>
    <w:rsid w:val="74FF4217"/>
    <w:rsid w:val="75004176"/>
    <w:rsid w:val="75017AB3"/>
    <w:rsid w:val="75033DD7"/>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94651"/>
    <w:rsid w:val="753A1E42"/>
    <w:rsid w:val="75413000"/>
    <w:rsid w:val="75437BF3"/>
    <w:rsid w:val="75501785"/>
    <w:rsid w:val="75522634"/>
    <w:rsid w:val="755527D7"/>
    <w:rsid w:val="75562DC2"/>
    <w:rsid w:val="7556508C"/>
    <w:rsid w:val="75591A9F"/>
    <w:rsid w:val="75614CBF"/>
    <w:rsid w:val="75626BBB"/>
    <w:rsid w:val="75631871"/>
    <w:rsid w:val="75646B2F"/>
    <w:rsid w:val="75660BCC"/>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330CEC"/>
    <w:rsid w:val="76347E97"/>
    <w:rsid w:val="763E49DF"/>
    <w:rsid w:val="763F2481"/>
    <w:rsid w:val="765510D9"/>
    <w:rsid w:val="7655596E"/>
    <w:rsid w:val="766107BA"/>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2209CB"/>
    <w:rsid w:val="7723195D"/>
    <w:rsid w:val="772A1315"/>
    <w:rsid w:val="7734235A"/>
    <w:rsid w:val="773C613C"/>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635E9"/>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3C66"/>
    <w:rsid w:val="77CC6CB8"/>
    <w:rsid w:val="77D0780A"/>
    <w:rsid w:val="77D72EC0"/>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2277E5"/>
    <w:rsid w:val="784059E3"/>
    <w:rsid w:val="784329E1"/>
    <w:rsid w:val="784451CB"/>
    <w:rsid w:val="785A3795"/>
    <w:rsid w:val="785D3AC6"/>
    <w:rsid w:val="7866580D"/>
    <w:rsid w:val="786F51FF"/>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B6B70"/>
    <w:rsid w:val="78D23B7E"/>
    <w:rsid w:val="78E10719"/>
    <w:rsid w:val="78F14E36"/>
    <w:rsid w:val="78F70B10"/>
    <w:rsid w:val="78FB7710"/>
    <w:rsid w:val="790505C7"/>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C4F0F"/>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3935"/>
    <w:rsid w:val="7B7C162F"/>
    <w:rsid w:val="7B7D1905"/>
    <w:rsid w:val="7B8175B9"/>
    <w:rsid w:val="7B833A1A"/>
    <w:rsid w:val="7B8D734B"/>
    <w:rsid w:val="7B9174D9"/>
    <w:rsid w:val="7B936E9C"/>
    <w:rsid w:val="7B956F44"/>
    <w:rsid w:val="7BB31BAD"/>
    <w:rsid w:val="7BBA5E12"/>
    <w:rsid w:val="7BBD0D0E"/>
    <w:rsid w:val="7BC52D01"/>
    <w:rsid w:val="7BC754A2"/>
    <w:rsid w:val="7BC94242"/>
    <w:rsid w:val="7BD20703"/>
    <w:rsid w:val="7BD94BA0"/>
    <w:rsid w:val="7BDD3912"/>
    <w:rsid w:val="7BE10250"/>
    <w:rsid w:val="7BE51920"/>
    <w:rsid w:val="7BEC5AB6"/>
    <w:rsid w:val="7BEE02B3"/>
    <w:rsid w:val="7BEE1215"/>
    <w:rsid w:val="7BF47ED6"/>
    <w:rsid w:val="7BF54F0F"/>
    <w:rsid w:val="7BFF3261"/>
    <w:rsid w:val="7C013AFE"/>
    <w:rsid w:val="7C1402F2"/>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96AEA"/>
    <w:rsid w:val="7CBB448F"/>
    <w:rsid w:val="7CBD10D4"/>
    <w:rsid w:val="7CC457FD"/>
    <w:rsid w:val="7CC47E43"/>
    <w:rsid w:val="7CC73521"/>
    <w:rsid w:val="7CCC1769"/>
    <w:rsid w:val="7CCE2A27"/>
    <w:rsid w:val="7CD3028D"/>
    <w:rsid w:val="7CD90778"/>
    <w:rsid w:val="7CDA3374"/>
    <w:rsid w:val="7CDC79B2"/>
    <w:rsid w:val="7CE171C5"/>
    <w:rsid w:val="7CE807C9"/>
    <w:rsid w:val="7CEB0513"/>
    <w:rsid w:val="7CEB2C45"/>
    <w:rsid w:val="7CEC1C44"/>
    <w:rsid w:val="7CF46A63"/>
    <w:rsid w:val="7CF71D37"/>
    <w:rsid w:val="7CFD2D79"/>
    <w:rsid w:val="7CFF767A"/>
    <w:rsid w:val="7D0167BC"/>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7B3C64"/>
    <w:rsid w:val="7D7B512B"/>
    <w:rsid w:val="7D840A6F"/>
    <w:rsid w:val="7D8D2CD7"/>
    <w:rsid w:val="7D8D2D3B"/>
    <w:rsid w:val="7D8F2614"/>
    <w:rsid w:val="7D937465"/>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807CD3"/>
    <w:rsid w:val="7E81776E"/>
    <w:rsid w:val="7E827AA6"/>
    <w:rsid w:val="7E8A3193"/>
    <w:rsid w:val="7E8B5F9F"/>
    <w:rsid w:val="7E8C54A3"/>
    <w:rsid w:val="7E8C6F7B"/>
    <w:rsid w:val="7E8F378A"/>
    <w:rsid w:val="7E9056A4"/>
    <w:rsid w:val="7E964E64"/>
    <w:rsid w:val="7EA24829"/>
    <w:rsid w:val="7EAB6A25"/>
    <w:rsid w:val="7EAB707B"/>
    <w:rsid w:val="7EAE4F21"/>
    <w:rsid w:val="7EB237DA"/>
    <w:rsid w:val="7EB51150"/>
    <w:rsid w:val="7EBF7452"/>
    <w:rsid w:val="7EC54092"/>
    <w:rsid w:val="7ECA224D"/>
    <w:rsid w:val="7ED0094C"/>
    <w:rsid w:val="7ED534FD"/>
    <w:rsid w:val="7ED65889"/>
    <w:rsid w:val="7ED965D6"/>
    <w:rsid w:val="7EE405BA"/>
    <w:rsid w:val="7EE701ED"/>
    <w:rsid w:val="7EEA67B2"/>
    <w:rsid w:val="7EEA6FE3"/>
    <w:rsid w:val="7EF040A4"/>
    <w:rsid w:val="7EF230CD"/>
    <w:rsid w:val="7EF47B20"/>
    <w:rsid w:val="7EF81CCE"/>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2B6"/>
    <w:rsid w:val="7F591C40"/>
    <w:rsid w:val="7F5E14A3"/>
    <w:rsid w:val="7F6767D5"/>
    <w:rsid w:val="7F6A137F"/>
    <w:rsid w:val="7F6B1D1D"/>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13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2021-04-02T13:27:16Z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